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844C2" w14:textId="4A02B5F5" w:rsidR="000077A2" w:rsidRDefault="000077A2" w:rsidP="00F37D21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Resource Sharing Report</w:t>
      </w:r>
      <w:r w:rsidR="00F37D21">
        <w:rPr>
          <w:b/>
          <w:bCs/>
          <w:sz w:val="28"/>
          <w:szCs w:val="28"/>
        </w:rPr>
        <w:br/>
      </w:r>
      <w:r w:rsidRPr="00F37D21">
        <w:rPr>
          <w:b/>
          <w:bCs/>
        </w:rPr>
        <w:t>November 2020</w:t>
      </w:r>
    </w:p>
    <w:p w14:paraId="64764E62" w14:textId="784B54ED" w:rsidR="00F37D21" w:rsidRPr="00F37D21" w:rsidRDefault="00F37D21" w:rsidP="00F37D21">
      <w:pPr>
        <w:jc w:val="center"/>
        <w:rPr>
          <w:b/>
          <w:bCs/>
        </w:rPr>
      </w:pPr>
      <w:r>
        <w:rPr>
          <w:b/>
          <w:bCs/>
        </w:rPr>
        <w:t>Chris Lee</w:t>
      </w:r>
    </w:p>
    <w:p w14:paraId="676B927B" w14:textId="77777777" w:rsidR="00F37D21" w:rsidRDefault="00F37D21">
      <w:pPr>
        <w:rPr>
          <w:b/>
          <w:bCs/>
          <w:sz w:val="28"/>
          <w:szCs w:val="28"/>
        </w:rPr>
      </w:pPr>
    </w:p>
    <w:p w14:paraId="2407FF8E" w14:textId="7D05ED3F" w:rsidR="00B84E80" w:rsidRPr="00EE41B3" w:rsidRDefault="00B84E80">
      <w:pPr>
        <w:rPr>
          <w:b/>
          <w:bCs/>
          <w:sz w:val="28"/>
          <w:szCs w:val="28"/>
        </w:rPr>
      </w:pPr>
      <w:r w:rsidRPr="00EE41B3">
        <w:rPr>
          <w:b/>
          <w:bCs/>
          <w:sz w:val="28"/>
          <w:szCs w:val="28"/>
        </w:rPr>
        <w:t>Introduction</w:t>
      </w:r>
    </w:p>
    <w:p w14:paraId="1023B630" w14:textId="69ACEFAB" w:rsidR="000E1EC8" w:rsidRDefault="005F578D">
      <w:r>
        <w:t>Resource Sharing</w:t>
      </w:r>
      <w:r w:rsidR="007F2BA2">
        <w:t xml:space="preserve"> (aka Interlibrary Loan)</w:t>
      </w:r>
      <w:r>
        <w:t xml:space="preserve"> in the CSU system </w:t>
      </w:r>
      <w:r w:rsidR="00791D5D">
        <w:t xml:space="preserve">is going strong and </w:t>
      </w:r>
      <w:r w:rsidR="00EC0A89">
        <w:t>sharing of physical ma</w:t>
      </w:r>
      <w:r w:rsidR="00873E68">
        <w:t xml:space="preserve">terials was </w:t>
      </w:r>
      <w:r w:rsidR="00791D5D">
        <w:t xml:space="preserve">growing in use </w:t>
      </w:r>
      <w:r w:rsidR="007275AB">
        <w:t xml:space="preserve">before the COVID-19 pandemic. </w:t>
      </w:r>
      <w:r w:rsidR="008C6477">
        <w:t xml:space="preserve">The CSU system saw a dramatic increase in </w:t>
      </w:r>
      <w:r w:rsidR="00EF511A">
        <w:t>sharing physical materials</w:t>
      </w:r>
      <w:r w:rsidR="008C6477">
        <w:t xml:space="preserve"> </w:t>
      </w:r>
      <w:r w:rsidR="00EF511A">
        <w:t>with the launch of CSU+</w:t>
      </w:r>
      <w:r w:rsidR="00C733B9">
        <w:t xml:space="preserve"> in 2017</w:t>
      </w:r>
      <w:r w:rsidR="008C5B49">
        <w:t>, possibly due to the increased visibility of the service</w:t>
      </w:r>
      <w:r w:rsidR="00873E68">
        <w:t>, and t</w:t>
      </w:r>
      <w:r w:rsidR="003875E8">
        <w:t xml:space="preserve">he usage continued to grow if </w:t>
      </w:r>
      <w:r w:rsidR="00A4131D">
        <w:t>until libraries</w:t>
      </w:r>
      <w:r w:rsidR="00A84BDB">
        <w:t xml:space="preserve"> stop</w:t>
      </w:r>
      <w:r w:rsidR="003B3A9A">
        <w:t>ped</w:t>
      </w:r>
      <w:r w:rsidR="00A84BDB">
        <w:t xml:space="preserve"> loaning physical materials </w:t>
      </w:r>
      <w:r w:rsidR="00C926E2">
        <w:t xml:space="preserve">during the beginning of the pandemic. </w:t>
      </w:r>
    </w:p>
    <w:p w14:paraId="27813ECC" w14:textId="0E9D951E" w:rsidR="007275AB" w:rsidRPr="00EE41B3" w:rsidRDefault="00830FD3">
      <w:pPr>
        <w:rPr>
          <w:b/>
          <w:bCs/>
          <w:sz w:val="28"/>
          <w:szCs w:val="28"/>
        </w:rPr>
      </w:pPr>
      <w:r w:rsidRPr="00EE41B3">
        <w:rPr>
          <w:b/>
          <w:bCs/>
          <w:sz w:val="28"/>
          <w:szCs w:val="28"/>
        </w:rPr>
        <w:t>Borrowing</w:t>
      </w:r>
    </w:p>
    <w:tbl>
      <w:tblPr>
        <w:tblW w:w="7822" w:type="dxa"/>
        <w:tblLook w:val="04A0" w:firstRow="1" w:lastRow="0" w:firstColumn="1" w:lastColumn="0" w:noHBand="0" w:noVBand="1"/>
      </w:tblPr>
      <w:tblGrid>
        <w:gridCol w:w="1612"/>
        <w:gridCol w:w="1242"/>
        <w:gridCol w:w="1242"/>
        <w:gridCol w:w="1242"/>
        <w:gridCol w:w="1242"/>
        <w:gridCol w:w="1242"/>
      </w:tblGrid>
      <w:tr w:rsidR="00123D43" w:rsidRPr="00123D43" w14:paraId="0C9A589D" w14:textId="77777777" w:rsidTr="00123D43">
        <w:trPr>
          <w:trHeight w:val="300"/>
        </w:trPr>
        <w:tc>
          <w:tcPr>
            <w:tcW w:w="7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14:paraId="713EADB1" w14:textId="77777777" w:rsidR="00123D43" w:rsidRPr="00123D43" w:rsidRDefault="00123D43" w:rsidP="0012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123D43">
              <w:rPr>
                <w:rFonts w:ascii="Calibri" w:eastAsia="Times New Roman" w:hAnsi="Calibri" w:cs="Calibri"/>
                <w:color w:val="FFFFFF"/>
              </w:rPr>
              <w:t>Borrowing</w:t>
            </w:r>
          </w:p>
        </w:tc>
      </w:tr>
      <w:tr w:rsidR="00123D43" w:rsidRPr="00123D43" w14:paraId="71084D16" w14:textId="77777777" w:rsidTr="00123D43">
        <w:trPr>
          <w:trHeight w:val="300"/>
        </w:trPr>
        <w:tc>
          <w:tcPr>
            <w:tcW w:w="1612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18463583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23D43">
              <w:rPr>
                <w:rFonts w:ascii="Calibri" w:eastAsia="Times New Roman" w:hAnsi="Calibri" w:cs="Calibri"/>
                <w:b/>
                <w:bCs/>
                <w:color w:val="FFFFFF"/>
              </w:rPr>
              <w:t>Service</w:t>
            </w:r>
          </w:p>
        </w:tc>
        <w:tc>
          <w:tcPr>
            <w:tcW w:w="1242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587F9816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23D43">
              <w:rPr>
                <w:rFonts w:ascii="Calibri" w:eastAsia="Times New Roman" w:hAnsi="Calibri" w:cs="Calibri"/>
                <w:b/>
                <w:bCs/>
                <w:color w:val="FFFFFF"/>
              </w:rPr>
              <w:t>FY 15/16</w:t>
            </w:r>
          </w:p>
        </w:tc>
        <w:tc>
          <w:tcPr>
            <w:tcW w:w="1242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31FA785B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23D43">
              <w:rPr>
                <w:rFonts w:ascii="Calibri" w:eastAsia="Times New Roman" w:hAnsi="Calibri" w:cs="Calibri"/>
                <w:b/>
                <w:bCs/>
                <w:color w:val="FFFFFF"/>
              </w:rPr>
              <w:t>FY 16/17</w:t>
            </w:r>
          </w:p>
        </w:tc>
        <w:tc>
          <w:tcPr>
            <w:tcW w:w="1242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70E81844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23D43">
              <w:rPr>
                <w:rFonts w:ascii="Calibri" w:eastAsia="Times New Roman" w:hAnsi="Calibri" w:cs="Calibri"/>
                <w:b/>
                <w:bCs/>
                <w:color w:val="FFFFFF"/>
              </w:rPr>
              <w:t>FY 17/18</w:t>
            </w:r>
          </w:p>
        </w:tc>
        <w:tc>
          <w:tcPr>
            <w:tcW w:w="1242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12F7E769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23D43">
              <w:rPr>
                <w:rFonts w:ascii="Calibri" w:eastAsia="Times New Roman" w:hAnsi="Calibri" w:cs="Calibri"/>
                <w:b/>
                <w:bCs/>
                <w:color w:val="FFFFFF"/>
              </w:rPr>
              <w:t>FY 18/19</w:t>
            </w:r>
          </w:p>
        </w:tc>
        <w:tc>
          <w:tcPr>
            <w:tcW w:w="1242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4472C4" w:fill="4472C4"/>
            <w:noWrap/>
            <w:vAlign w:val="bottom"/>
            <w:hideMark/>
          </w:tcPr>
          <w:p w14:paraId="4B75609D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23D43">
              <w:rPr>
                <w:rFonts w:ascii="Calibri" w:eastAsia="Times New Roman" w:hAnsi="Calibri" w:cs="Calibri"/>
                <w:b/>
                <w:bCs/>
                <w:color w:val="FFFFFF"/>
              </w:rPr>
              <w:t>FY 19/20</w:t>
            </w:r>
          </w:p>
        </w:tc>
      </w:tr>
      <w:tr w:rsidR="00123D43" w:rsidRPr="00123D43" w14:paraId="0F09BCE6" w14:textId="77777777" w:rsidTr="00123D43">
        <w:trPr>
          <w:trHeight w:val="300"/>
        </w:trPr>
        <w:tc>
          <w:tcPr>
            <w:tcW w:w="1612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2DF7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 xml:space="preserve">CSU+ </w:t>
            </w:r>
          </w:p>
        </w:tc>
        <w:tc>
          <w:tcPr>
            <w:tcW w:w="1242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4901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42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70E6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42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F09B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56120</w:t>
            </w:r>
          </w:p>
        </w:tc>
        <w:tc>
          <w:tcPr>
            <w:tcW w:w="1242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6E56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65945</w:t>
            </w:r>
          </w:p>
        </w:tc>
        <w:tc>
          <w:tcPr>
            <w:tcW w:w="1242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8E8ED2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55412</w:t>
            </w:r>
          </w:p>
        </w:tc>
      </w:tr>
      <w:tr w:rsidR="00123D43" w:rsidRPr="00123D43" w14:paraId="4F8DA67B" w14:textId="77777777" w:rsidTr="00123D43">
        <w:trPr>
          <w:trHeight w:val="300"/>
        </w:trPr>
        <w:tc>
          <w:tcPr>
            <w:tcW w:w="16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03A07649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OCLC</w:t>
            </w:r>
          </w:p>
        </w:tc>
        <w:tc>
          <w:tcPr>
            <w:tcW w:w="124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3DE680DF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39938</w:t>
            </w:r>
          </w:p>
        </w:tc>
        <w:tc>
          <w:tcPr>
            <w:tcW w:w="124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4EEAC73F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35392</w:t>
            </w:r>
          </w:p>
        </w:tc>
        <w:tc>
          <w:tcPr>
            <w:tcW w:w="124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1FEAACBB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35566</w:t>
            </w:r>
          </w:p>
        </w:tc>
        <w:tc>
          <w:tcPr>
            <w:tcW w:w="124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08F14A8B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33368</w:t>
            </w:r>
          </w:p>
        </w:tc>
        <w:tc>
          <w:tcPr>
            <w:tcW w:w="1242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C56A59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24914</w:t>
            </w:r>
          </w:p>
        </w:tc>
      </w:tr>
      <w:tr w:rsidR="00123D43" w:rsidRPr="00123D43" w14:paraId="43A01C10" w14:textId="77777777" w:rsidTr="00123D43">
        <w:trPr>
          <w:trHeight w:val="30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14:paraId="0838A7D6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123D43">
              <w:rPr>
                <w:rFonts w:ascii="Calibri" w:eastAsia="Times New Roman" w:hAnsi="Calibri" w:cs="Calibri"/>
                <w:color w:val="FFFFFF"/>
              </w:rPr>
              <w:t>Grand Total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14:paraId="008B667B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123D43">
              <w:rPr>
                <w:rFonts w:ascii="Calibri" w:eastAsia="Times New Roman" w:hAnsi="Calibri" w:cs="Calibri"/>
                <w:color w:val="FFFFFF"/>
              </w:rPr>
              <w:t>39938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14:paraId="7EE736D3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123D43">
              <w:rPr>
                <w:rFonts w:ascii="Calibri" w:eastAsia="Times New Roman" w:hAnsi="Calibri" w:cs="Calibri"/>
                <w:color w:val="FFFFFF"/>
              </w:rPr>
              <w:t>35392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14:paraId="072F3B10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123D43">
              <w:rPr>
                <w:rFonts w:ascii="Calibri" w:eastAsia="Times New Roman" w:hAnsi="Calibri" w:cs="Calibri"/>
                <w:color w:val="FFFFFF"/>
              </w:rPr>
              <w:t>91686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14:paraId="39F97DF3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123D43">
              <w:rPr>
                <w:rFonts w:ascii="Calibri" w:eastAsia="Times New Roman" w:hAnsi="Calibri" w:cs="Calibri"/>
                <w:color w:val="FFFFFF"/>
              </w:rPr>
              <w:t>99313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14:paraId="3361A267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123D43">
              <w:rPr>
                <w:rFonts w:ascii="Calibri" w:eastAsia="Times New Roman" w:hAnsi="Calibri" w:cs="Calibri"/>
                <w:color w:val="FFFFFF"/>
              </w:rPr>
              <w:t>80326</w:t>
            </w:r>
          </w:p>
        </w:tc>
      </w:tr>
    </w:tbl>
    <w:p w14:paraId="79302468" w14:textId="70617910" w:rsidR="000711A4" w:rsidRDefault="000711A4" w:rsidP="00123D43"/>
    <w:p w14:paraId="666E4030" w14:textId="5D53F7A4" w:rsidR="00123D43" w:rsidRDefault="0088486B" w:rsidP="00123D43">
      <w:r>
        <w:rPr>
          <w:noProof/>
        </w:rPr>
        <w:drawing>
          <wp:inline distT="0" distB="0" distL="0" distR="0" wp14:anchorId="283377D3" wp14:editId="2F34F23C">
            <wp:extent cx="4572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4E38DB04-E671-4DE0-9C58-CC129F9958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7E741EC" w14:textId="3BC4C10C" w:rsidR="007B721F" w:rsidRDefault="0088486B" w:rsidP="00123D43">
      <w:r>
        <w:t>Borrowing requests using OCLC services (</w:t>
      </w:r>
      <w:proofErr w:type="spellStart"/>
      <w:r>
        <w:t>ILLiad</w:t>
      </w:r>
      <w:proofErr w:type="spellEnd"/>
      <w:r>
        <w:t xml:space="preserve"> and </w:t>
      </w:r>
      <w:proofErr w:type="spellStart"/>
      <w:r>
        <w:t>WorldShare</w:t>
      </w:r>
      <w:proofErr w:type="spellEnd"/>
      <w:r>
        <w:t xml:space="preserve">) has gradually decreased each year. </w:t>
      </w:r>
      <w:r w:rsidR="00B21DE6">
        <w:t>R</w:t>
      </w:r>
      <w:r>
        <w:t xml:space="preserve">equests using CSU+ </w:t>
      </w:r>
      <w:r w:rsidR="00BA7559">
        <w:t>increased</w:t>
      </w:r>
      <w:r>
        <w:t xml:space="preserve"> in the second year of the service before returning to a similar total to the first year of the program.</w:t>
      </w:r>
      <w:r w:rsidR="00796166">
        <w:t xml:space="preserve"> </w:t>
      </w:r>
      <w:r>
        <w:t xml:space="preserve">Total Borrowing of physical materials is still nearly twice as high as before CSU+ launched. </w:t>
      </w:r>
    </w:p>
    <w:p w14:paraId="1363F954" w14:textId="4DD09452" w:rsidR="001E41FF" w:rsidRDefault="00D655A0" w:rsidP="00123D43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1B24291" wp14:editId="408C6607">
            <wp:simplePos x="0" y="0"/>
            <wp:positionH relativeFrom="margin">
              <wp:posOffset>-635</wp:posOffset>
            </wp:positionH>
            <wp:positionV relativeFrom="paragraph">
              <wp:posOffset>936625</wp:posOffset>
            </wp:positionV>
            <wp:extent cx="3136265" cy="1900555"/>
            <wp:effectExtent l="0" t="0" r="6985" b="4445"/>
            <wp:wrapSquare wrapText="bothSides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D4E11BBB-4B92-49C2-890A-4DDB3DBE91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69893E" wp14:editId="4813F435">
            <wp:simplePos x="0" y="0"/>
            <wp:positionH relativeFrom="margin">
              <wp:posOffset>3152775</wp:posOffset>
            </wp:positionH>
            <wp:positionV relativeFrom="paragraph">
              <wp:posOffset>944880</wp:posOffset>
            </wp:positionV>
            <wp:extent cx="3152775" cy="1891665"/>
            <wp:effectExtent l="0" t="0" r="9525" b="13335"/>
            <wp:wrapSquare wrapText="bothSides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D3E3B148-78B7-4266-A718-97985381CC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1FF">
        <w:t>The d</w:t>
      </w:r>
      <w:r w:rsidR="00361D53">
        <w:t>ecrease</w:t>
      </w:r>
      <w:r w:rsidR="001E41FF">
        <w:t xml:space="preserve"> in usage between FY 2018/2019 and FY 2019/2020 is likely due to the COVID-19 pandemic. Month to month usage of CSU+ was on track to continue to increase before the pandemic forced libraries to stop borrowing physical materials. OCLC usage </w:t>
      </w:r>
      <w:r w:rsidR="00217404">
        <w:t xml:space="preserve">in FY 2019/2020 </w:t>
      </w:r>
      <w:r w:rsidR="001E41FF">
        <w:t xml:space="preserve">was similar to the </w:t>
      </w:r>
      <w:r w:rsidR="00217404">
        <w:t xml:space="preserve">usage in </w:t>
      </w:r>
      <w:r w:rsidR="00FA0553">
        <w:t>FY 2018/2019</w:t>
      </w:r>
      <w:r w:rsidR="001E41FF">
        <w:t xml:space="preserve"> before the pandemic. </w:t>
      </w:r>
      <w:r w:rsidR="00D77551">
        <w:t xml:space="preserve">Even with three months without borrowing </w:t>
      </w:r>
      <w:r w:rsidR="00A35160">
        <w:t xml:space="preserve">materials the </w:t>
      </w:r>
      <w:r w:rsidR="00BF64F8">
        <w:t xml:space="preserve">CSU+ </w:t>
      </w:r>
      <w:r w:rsidR="00A35160">
        <w:t>usage in FY 2019/2020 was on</w:t>
      </w:r>
      <w:r w:rsidR="00764E6C">
        <w:t xml:space="preserve">ly </w:t>
      </w:r>
      <w:r w:rsidR="00643B74">
        <w:t xml:space="preserve">708 requests less than </w:t>
      </w:r>
      <w:r w:rsidR="0061556E">
        <w:t xml:space="preserve">FY 2017/2018 when the program launched. </w:t>
      </w:r>
    </w:p>
    <w:p w14:paraId="679D4F31" w14:textId="77777777" w:rsidR="00830FD3" w:rsidRDefault="00830FD3"/>
    <w:p w14:paraId="6C4C6815" w14:textId="0B08B1E5" w:rsidR="00830FD3" w:rsidRPr="00EE41B3" w:rsidRDefault="00830FD3">
      <w:pPr>
        <w:rPr>
          <w:b/>
          <w:bCs/>
          <w:sz w:val="28"/>
          <w:szCs w:val="28"/>
        </w:rPr>
      </w:pPr>
      <w:r w:rsidRPr="00EE41B3">
        <w:rPr>
          <w:b/>
          <w:bCs/>
          <w:sz w:val="28"/>
          <w:szCs w:val="28"/>
        </w:rPr>
        <w:t>Lending</w:t>
      </w:r>
    </w:p>
    <w:tbl>
      <w:tblPr>
        <w:tblW w:w="7822" w:type="dxa"/>
        <w:tblLook w:val="04A0" w:firstRow="1" w:lastRow="0" w:firstColumn="1" w:lastColumn="0" w:noHBand="0" w:noVBand="1"/>
      </w:tblPr>
      <w:tblGrid>
        <w:gridCol w:w="1612"/>
        <w:gridCol w:w="1242"/>
        <w:gridCol w:w="1242"/>
        <w:gridCol w:w="1242"/>
        <w:gridCol w:w="1242"/>
        <w:gridCol w:w="1242"/>
      </w:tblGrid>
      <w:tr w:rsidR="00123D43" w:rsidRPr="00123D43" w14:paraId="350B78FE" w14:textId="77777777" w:rsidTr="00123D43">
        <w:trPr>
          <w:trHeight w:val="300"/>
        </w:trPr>
        <w:tc>
          <w:tcPr>
            <w:tcW w:w="7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525F8202" w14:textId="149B2E92" w:rsidR="00123D43" w:rsidRPr="00123D43" w:rsidRDefault="00123D43" w:rsidP="0012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123D43">
              <w:rPr>
                <w:rFonts w:ascii="Calibri" w:eastAsia="Times New Roman" w:hAnsi="Calibri" w:cs="Calibri"/>
                <w:color w:val="FFFFFF"/>
              </w:rPr>
              <w:t>Lending</w:t>
            </w:r>
          </w:p>
        </w:tc>
      </w:tr>
      <w:tr w:rsidR="00123D43" w:rsidRPr="00123D43" w14:paraId="4E220D4E" w14:textId="77777777" w:rsidTr="00123D43">
        <w:trPr>
          <w:trHeight w:val="300"/>
        </w:trPr>
        <w:tc>
          <w:tcPr>
            <w:tcW w:w="1612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70AD47" w:fill="70AD47"/>
            <w:noWrap/>
            <w:vAlign w:val="bottom"/>
            <w:hideMark/>
          </w:tcPr>
          <w:p w14:paraId="142D8231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23D43">
              <w:rPr>
                <w:rFonts w:ascii="Calibri" w:eastAsia="Times New Roman" w:hAnsi="Calibri" w:cs="Calibri"/>
                <w:b/>
                <w:bCs/>
                <w:color w:val="FFFFFF"/>
              </w:rPr>
              <w:t>Service</w:t>
            </w:r>
          </w:p>
        </w:tc>
        <w:tc>
          <w:tcPr>
            <w:tcW w:w="1242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70AD47" w:fill="70AD47"/>
            <w:noWrap/>
            <w:vAlign w:val="bottom"/>
            <w:hideMark/>
          </w:tcPr>
          <w:p w14:paraId="30E84414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23D43">
              <w:rPr>
                <w:rFonts w:ascii="Calibri" w:eastAsia="Times New Roman" w:hAnsi="Calibri" w:cs="Calibri"/>
                <w:b/>
                <w:bCs/>
                <w:color w:val="FFFFFF"/>
              </w:rPr>
              <w:t>FY 15/16</w:t>
            </w:r>
          </w:p>
        </w:tc>
        <w:tc>
          <w:tcPr>
            <w:tcW w:w="1242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70AD47" w:fill="70AD47"/>
            <w:noWrap/>
            <w:vAlign w:val="bottom"/>
            <w:hideMark/>
          </w:tcPr>
          <w:p w14:paraId="59888888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23D43">
              <w:rPr>
                <w:rFonts w:ascii="Calibri" w:eastAsia="Times New Roman" w:hAnsi="Calibri" w:cs="Calibri"/>
                <w:b/>
                <w:bCs/>
                <w:color w:val="FFFFFF"/>
              </w:rPr>
              <w:t>FY 16/17</w:t>
            </w:r>
          </w:p>
        </w:tc>
        <w:tc>
          <w:tcPr>
            <w:tcW w:w="1242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70AD47" w:fill="70AD47"/>
            <w:noWrap/>
            <w:vAlign w:val="bottom"/>
            <w:hideMark/>
          </w:tcPr>
          <w:p w14:paraId="65EABE5E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23D43">
              <w:rPr>
                <w:rFonts w:ascii="Calibri" w:eastAsia="Times New Roman" w:hAnsi="Calibri" w:cs="Calibri"/>
                <w:b/>
                <w:bCs/>
                <w:color w:val="FFFFFF"/>
              </w:rPr>
              <w:t>FY 17/18</w:t>
            </w:r>
          </w:p>
        </w:tc>
        <w:tc>
          <w:tcPr>
            <w:tcW w:w="1242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70AD47" w:fill="70AD47"/>
            <w:noWrap/>
            <w:vAlign w:val="bottom"/>
            <w:hideMark/>
          </w:tcPr>
          <w:p w14:paraId="79960ABD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23D43">
              <w:rPr>
                <w:rFonts w:ascii="Calibri" w:eastAsia="Times New Roman" w:hAnsi="Calibri" w:cs="Calibri"/>
                <w:b/>
                <w:bCs/>
                <w:color w:val="FFFFFF"/>
              </w:rPr>
              <w:t>FY 18/19</w:t>
            </w:r>
          </w:p>
        </w:tc>
        <w:tc>
          <w:tcPr>
            <w:tcW w:w="1242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70AD47" w:fill="70AD47"/>
            <w:noWrap/>
            <w:vAlign w:val="bottom"/>
            <w:hideMark/>
          </w:tcPr>
          <w:p w14:paraId="0C26F8C3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23D43">
              <w:rPr>
                <w:rFonts w:ascii="Calibri" w:eastAsia="Times New Roman" w:hAnsi="Calibri" w:cs="Calibri"/>
                <w:b/>
                <w:bCs/>
                <w:color w:val="FFFFFF"/>
              </w:rPr>
              <w:t>FY 19/20</w:t>
            </w:r>
          </w:p>
        </w:tc>
      </w:tr>
      <w:tr w:rsidR="00123D43" w:rsidRPr="00123D43" w14:paraId="12EE5591" w14:textId="77777777" w:rsidTr="00123D43">
        <w:trPr>
          <w:trHeight w:val="300"/>
        </w:trPr>
        <w:tc>
          <w:tcPr>
            <w:tcW w:w="1612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5995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CSU+</w:t>
            </w:r>
          </w:p>
        </w:tc>
        <w:tc>
          <w:tcPr>
            <w:tcW w:w="1242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605A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42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3183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42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601A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57122</w:t>
            </w:r>
          </w:p>
        </w:tc>
        <w:tc>
          <w:tcPr>
            <w:tcW w:w="1242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CCC5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66939</w:t>
            </w:r>
          </w:p>
        </w:tc>
        <w:tc>
          <w:tcPr>
            <w:tcW w:w="1242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C7656D7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56355</w:t>
            </w:r>
          </w:p>
        </w:tc>
      </w:tr>
      <w:tr w:rsidR="00123D43" w:rsidRPr="00123D43" w14:paraId="20E993F3" w14:textId="77777777" w:rsidTr="00123D43">
        <w:trPr>
          <w:trHeight w:val="300"/>
        </w:trPr>
        <w:tc>
          <w:tcPr>
            <w:tcW w:w="161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14:paraId="5C555F09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OCLC</w:t>
            </w:r>
          </w:p>
        </w:tc>
        <w:tc>
          <w:tcPr>
            <w:tcW w:w="1242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14:paraId="522BC16C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45400</w:t>
            </w:r>
          </w:p>
        </w:tc>
        <w:tc>
          <w:tcPr>
            <w:tcW w:w="1242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14:paraId="73A82E50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40988</w:t>
            </w:r>
          </w:p>
        </w:tc>
        <w:tc>
          <w:tcPr>
            <w:tcW w:w="1242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14:paraId="1605AA5A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36297</w:t>
            </w:r>
          </w:p>
        </w:tc>
        <w:tc>
          <w:tcPr>
            <w:tcW w:w="1242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14:paraId="7264F8C3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34306</w:t>
            </w:r>
          </w:p>
        </w:tc>
        <w:tc>
          <w:tcPr>
            <w:tcW w:w="1242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6A84847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22670</w:t>
            </w:r>
          </w:p>
        </w:tc>
      </w:tr>
      <w:tr w:rsidR="00123D43" w:rsidRPr="00123D43" w14:paraId="37C457D8" w14:textId="77777777" w:rsidTr="00123D43">
        <w:trPr>
          <w:trHeight w:val="30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3BDDA80B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123D43">
              <w:rPr>
                <w:rFonts w:ascii="Calibri" w:eastAsia="Times New Roman" w:hAnsi="Calibri" w:cs="Calibri"/>
                <w:color w:val="FFFFFF"/>
              </w:rPr>
              <w:t>Grand Total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418494DF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123D43">
              <w:rPr>
                <w:rFonts w:ascii="Calibri" w:eastAsia="Times New Roman" w:hAnsi="Calibri" w:cs="Calibri"/>
                <w:color w:val="FFFFFF"/>
              </w:rPr>
              <w:t>45400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165017EA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123D43">
              <w:rPr>
                <w:rFonts w:ascii="Calibri" w:eastAsia="Times New Roman" w:hAnsi="Calibri" w:cs="Calibri"/>
                <w:color w:val="FFFFFF"/>
              </w:rPr>
              <w:t>40988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19B22AE0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123D43">
              <w:rPr>
                <w:rFonts w:ascii="Calibri" w:eastAsia="Times New Roman" w:hAnsi="Calibri" w:cs="Calibri"/>
                <w:color w:val="FFFFFF"/>
              </w:rPr>
              <w:t>93419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6323960F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123D43">
              <w:rPr>
                <w:rFonts w:ascii="Calibri" w:eastAsia="Times New Roman" w:hAnsi="Calibri" w:cs="Calibri"/>
                <w:color w:val="FFFFFF"/>
              </w:rPr>
              <w:t>101245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6740B09D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</w:rPr>
            </w:pPr>
            <w:r w:rsidRPr="00123D43">
              <w:rPr>
                <w:rFonts w:ascii="Calibri" w:eastAsia="Times New Roman" w:hAnsi="Calibri" w:cs="Calibri"/>
                <w:color w:val="FFFFFF"/>
              </w:rPr>
              <w:t>79025</w:t>
            </w:r>
          </w:p>
        </w:tc>
      </w:tr>
    </w:tbl>
    <w:p w14:paraId="1C2D1787" w14:textId="026AC706" w:rsidR="00123D43" w:rsidRDefault="00123D43" w:rsidP="00123D43"/>
    <w:p w14:paraId="5561E494" w14:textId="3D935CE2" w:rsidR="00123D43" w:rsidRDefault="0088486B" w:rsidP="00123D43">
      <w:r>
        <w:rPr>
          <w:noProof/>
        </w:rPr>
        <w:drawing>
          <wp:inline distT="0" distB="0" distL="0" distR="0" wp14:anchorId="595F261D" wp14:editId="47832DE7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9A9EB10-A0C9-4220-B1A5-8414B94005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AE5C906" w14:textId="70874175" w:rsidR="00123D43" w:rsidRDefault="0088486B" w:rsidP="00123D43">
      <w:r>
        <w:t xml:space="preserve">Lending requests followed a similar trajectory to Borrowing requests. OCLC Lending requests gradually decreased while CSU+ loans rose in FY 2018/2019 and returned to a similar amount to service launch in </w:t>
      </w:r>
      <w:r>
        <w:lastRenderedPageBreak/>
        <w:t xml:space="preserve">FY 2019/2020. </w:t>
      </w:r>
      <w:r w:rsidR="00D75497">
        <w:t>Total Lending is also nearly twice as high overall tha</w:t>
      </w:r>
      <w:r w:rsidR="00151F7C">
        <w:t>n</w:t>
      </w:r>
      <w:r w:rsidR="00D75497">
        <w:t xml:space="preserve"> years prior to the launch of CSU+ in July 2017.  </w:t>
      </w:r>
    </w:p>
    <w:p w14:paraId="4D112B73" w14:textId="4C7E923D" w:rsidR="006221E1" w:rsidRDefault="006221E1">
      <w:r>
        <w:rPr>
          <w:noProof/>
        </w:rPr>
        <w:drawing>
          <wp:anchor distT="0" distB="0" distL="114300" distR="114300" simplePos="0" relativeHeight="251661312" behindDoc="0" locked="0" layoutInCell="1" allowOverlap="1" wp14:anchorId="5DC9447E" wp14:editId="0E84D0AF">
            <wp:simplePos x="0" y="0"/>
            <wp:positionH relativeFrom="margin">
              <wp:posOffset>3200400</wp:posOffset>
            </wp:positionH>
            <wp:positionV relativeFrom="paragraph">
              <wp:posOffset>469900</wp:posOffset>
            </wp:positionV>
            <wp:extent cx="3159125" cy="1895475"/>
            <wp:effectExtent l="0" t="0" r="3175" b="9525"/>
            <wp:wrapSquare wrapText="bothSides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18116FAA-80C8-436B-8088-BD2A47413A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0A51872" wp14:editId="18469448">
            <wp:simplePos x="0" y="0"/>
            <wp:positionH relativeFrom="margin">
              <wp:align>left</wp:align>
            </wp:positionH>
            <wp:positionV relativeFrom="paragraph">
              <wp:posOffset>479425</wp:posOffset>
            </wp:positionV>
            <wp:extent cx="3143250" cy="1885950"/>
            <wp:effectExtent l="0" t="0" r="0" b="0"/>
            <wp:wrapSquare wrapText="bothSides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9B6B3B3D-6951-4E9C-B8C7-59428EE039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Lending followed the same trend as borrowing during the pandemic. Without the ability to loan out physical materials usage stats dropped dramatically. </w:t>
      </w:r>
    </w:p>
    <w:p w14:paraId="70BA04C2" w14:textId="271B2B59" w:rsidR="00154E6A" w:rsidRDefault="00154E6A">
      <w:pPr>
        <w:rPr>
          <w:b/>
          <w:bCs/>
          <w:sz w:val="28"/>
          <w:szCs w:val="28"/>
        </w:rPr>
      </w:pPr>
    </w:p>
    <w:p w14:paraId="585ACFD8" w14:textId="237728F1" w:rsidR="008864A7" w:rsidRPr="008864A7" w:rsidRDefault="008864A7">
      <w:pPr>
        <w:rPr>
          <w:b/>
          <w:bCs/>
        </w:rPr>
      </w:pPr>
      <w:r>
        <w:rPr>
          <w:b/>
          <w:bCs/>
          <w:sz w:val="28"/>
          <w:szCs w:val="28"/>
        </w:rPr>
        <w:t>Articles</w:t>
      </w:r>
    </w:p>
    <w:tbl>
      <w:tblPr>
        <w:tblW w:w="7820" w:type="dxa"/>
        <w:tblLook w:val="04A0" w:firstRow="1" w:lastRow="0" w:firstColumn="1" w:lastColumn="0" w:noHBand="0" w:noVBand="1"/>
      </w:tblPr>
      <w:tblGrid>
        <w:gridCol w:w="2530"/>
        <w:gridCol w:w="1058"/>
        <w:gridCol w:w="1058"/>
        <w:gridCol w:w="1058"/>
        <w:gridCol w:w="1058"/>
        <w:gridCol w:w="1058"/>
      </w:tblGrid>
      <w:tr w:rsidR="00123D43" w:rsidRPr="00123D43" w14:paraId="11AB0184" w14:textId="77777777" w:rsidTr="00123D43">
        <w:trPr>
          <w:trHeight w:val="300"/>
        </w:trPr>
        <w:tc>
          <w:tcPr>
            <w:tcW w:w="7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bottom"/>
            <w:hideMark/>
          </w:tcPr>
          <w:p w14:paraId="7CB39D6B" w14:textId="77777777" w:rsidR="00123D43" w:rsidRPr="00123D43" w:rsidRDefault="00123D43" w:rsidP="0012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123D43">
              <w:rPr>
                <w:rFonts w:ascii="Calibri" w:eastAsia="Times New Roman" w:hAnsi="Calibri" w:cs="Calibri"/>
                <w:color w:val="FFFFFF"/>
              </w:rPr>
              <w:t>Articles</w:t>
            </w:r>
          </w:p>
        </w:tc>
      </w:tr>
      <w:tr w:rsidR="00123D43" w:rsidRPr="00123D43" w14:paraId="55ADBE45" w14:textId="77777777" w:rsidTr="00123D43">
        <w:trPr>
          <w:trHeight w:val="300"/>
        </w:trPr>
        <w:tc>
          <w:tcPr>
            <w:tcW w:w="2530" w:type="dxa"/>
            <w:tcBorders>
              <w:top w:val="single" w:sz="4" w:space="0" w:color="ED7D31"/>
              <w:left w:val="single" w:sz="4" w:space="0" w:color="ED7D31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14:paraId="6865F14E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23D43">
              <w:rPr>
                <w:rFonts w:ascii="Calibri" w:eastAsia="Times New Roman" w:hAnsi="Calibri" w:cs="Calibri"/>
                <w:b/>
                <w:bCs/>
                <w:color w:val="FFFFFF"/>
              </w:rPr>
              <w:t>Borrowing or Lending</w:t>
            </w:r>
          </w:p>
        </w:tc>
        <w:tc>
          <w:tcPr>
            <w:tcW w:w="1058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14:paraId="29E71AB3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23D43">
              <w:rPr>
                <w:rFonts w:ascii="Calibri" w:eastAsia="Times New Roman" w:hAnsi="Calibri" w:cs="Calibri"/>
                <w:b/>
                <w:bCs/>
                <w:color w:val="FFFFFF"/>
              </w:rPr>
              <w:t>FY 15/16</w:t>
            </w:r>
          </w:p>
        </w:tc>
        <w:tc>
          <w:tcPr>
            <w:tcW w:w="1058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14:paraId="21F804F1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23D43">
              <w:rPr>
                <w:rFonts w:ascii="Calibri" w:eastAsia="Times New Roman" w:hAnsi="Calibri" w:cs="Calibri"/>
                <w:b/>
                <w:bCs/>
                <w:color w:val="FFFFFF"/>
              </w:rPr>
              <w:t>FY 16/17</w:t>
            </w:r>
          </w:p>
        </w:tc>
        <w:tc>
          <w:tcPr>
            <w:tcW w:w="1058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14:paraId="42E26911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23D43">
              <w:rPr>
                <w:rFonts w:ascii="Calibri" w:eastAsia="Times New Roman" w:hAnsi="Calibri" w:cs="Calibri"/>
                <w:b/>
                <w:bCs/>
                <w:color w:val="FFFFFF"/>
              </w:rPr>
              <w:t>FY 17/18</w:t>
            </w:r>
          </w:p>
        </w:tc>
        <w:tc>
          <w:tcPr>
            <w:tcW w:w="1058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14:paraId="02E59103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23D43">
              <w:rPr>
                <w:rFonts w:ascii="Calibri" w:eastAsia="Times New Roman" w:hAnsi="Calibri" w:cs="Calibri"/>
                <w:b/>
                <w:bCs/>
                <w:color w:val="FFFFFF"/>
              </w:rPr>
              <w:t>FY 18/19</w:t>
            </w:r>
          </w:p>
        </w:tc>
        <w:tc>
          <w:tcPr>
            <w:tcW w:w="1058" w:type="dxa"/>
            <w:tcBorders>
              <w:top w:val="single" w:sz="4" w:space="0" w:color="ED7D31"/>
              <w:left w:val="nil"/>
              <w:bottom w:val="nil"/>
              <w:right w:val="single" w:sz="4" w:space="0" w:color="ED7D31"/>
            </w:tcBorders>
            <w:shd w:val="clear" w:color="ED7D31" w:fill="ED7D31"/>
            <w:noWrap/>
            <w:vAlign w:val="bottom"/>
            <w:hideMark/>
          </w:tcPr>
          <w:p w14:paraId="3BF8DFC8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23D43">
              <w:rPr>
                <w:rFonts w:ascii="Calibri" w:eastAsia="Times New Roman" w:hAnsi="Calibri" w:cs="Calibri"/>
                <w:b/>
                <w:bCs/>
                <w:color w:val="FFFFFF"/>
              </w:rPr>
              <w:t>FY 19/20</w:t>
            </w:r>
          </w:p>
        </w:tc>
      </w:tr>
      <w:tr w:rsidR="00123D43" w:rsidRPr="00123D43" w14:paraId="517BEB3B" w14:textId="77777777" w:rsidTr="00123D43">
        <w:trPr>
          <w:trHeight w:val="300"/>
        </w:trPr>
        <w:tc>
          <w:tcPr>
            <w:tcW w:w="2530" w:type="dxa"/>
            <w:tcBorders>
              <w:top w:val="single" w:sz="4" w:space="0" w:color="ED7D31"/>
              <w:left w:val="single" w:sz="4" w:space="0" w:color="ED7D3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39E8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Borrowing</w:t>
            </w:r>
          </w:p>
        </w:tc>
        <w:tc>
          <w:tcPr>
            <w:tcW w:w="1058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2EC8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34329</w:t>
            </w:r>
          </w:p>
        </w:tc>
        <w:tc>
          <w:tcPr>
            <w:tcW w:w="1058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7CA7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33896</w:t>
            </w:r>
          </w:p>
        </w:tc>
        <w:tc>
          <w:tcPr>
            <w:tcW w:w="1058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163E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24288</w:t>
            </w:r>
          </w:p>
        </w:tc>
        <w:tc>
          <w:tcPr>
            <w:tcW w:w="1058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20DC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22178</w:t>
            </w:r>
          </w:p>
        </w:tc>
        <w:tc>
          <w:tcPr>
            <w:tcW w:w="1058" w:type="dxa"/>
            <w:tcBorders>
              <w:top w:val="single" w:sz="4" w:space="0" w:color="ED7D31"/>
              <w:left w:val="nil"/>
              <w:bottom w:val="nil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2DC09E0C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20399</w:t>
            </w:r>
          </w:p>
        </w:tc>
      </w:tr>
      <w:tr w:rsidR="00123D43" w:rsidRPr="00123D43" w14:paraId="126FB46D" w14:textId="77777777" w:rsidTr="00123D43">
        <w:trPr>
          <w:trHeight w:val="300"/>
        </w:trPr>
        <w:tc>
          <w:tcPr>
            <w:tcW w:w="253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auto"/>
            <w:noWrap/>
            <w:vAlign w:val="bottom"/>
            <w:hideMark/>
          </w:tcPr>
          <w:p w14:paraId="19FC0B1B" w14:textId="77777777" w:rsidR="00123D43" w:rsidRPr="00123D43" w:rsidRDefault="00123D43" w:rsidP="0012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Lending</w:t>
            </w:r>
          </w:p>
        </w:tc>
        <w:tc>
          <w:tcPr>
            <w:tcW w:w="1058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bottom"/>
            <w:hideMark/>
          </w:tcPr>
          <w:p w14:paraId="7542C806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39151</w:t>
            </w:r>
          </w:p>
        </w:tc>
        <w:tc>
          <w:tcPr>
            <w:tcW w:w="1058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bottom"/>
            <w:hideMark/>
          </w:tcPr>
          <w:p w14:paraId="1E007762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36434</w:t>
            </w:r>
          </w:p>
        </w:tc>
        <w:tc>
          <w:tcPr>
            <w:tcW w:w="1058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bottom"/>
            <w:hideMark/>
          </w:tcPr>
          <w:p w14:paraId="12F09EFB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29144</w:t>
            </w:r>
          </w:p>
        </w:tc>
        <w:tc>
          <w:tcPr>
            <w:tcW w:w="1058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bottom"/>
            <w:hideMark/>
          </w:tcPr>
          <w:p w14:paraId="340FB563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27044</w:t>
            </w:r>
          </w:p>
        </w:tc>
        <w:tc>
          <w:tcPr>
            <w:tcW w:w="1058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59AE6543" w14:textId="77777777" w:rsidR="00123D43" w:rsidRPr="00123D43" w:rsidRDefault="00123D43" w:rsidP="00123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3D43">
              <w:rPr>
                <w:rFonts w:ascii="Calibri" w:eastAsia="Times New Roman" w:hAnsi="Calibri" w:cs="Calibri"/>
                <w:color w:val="000000"/>
              </w:rPr>
              <w:t>23718</w:t>
            </w:r>
          </w:p>
        </w:tc>
      </w:tr>
    </w:tbl>
    <w:p w14:paraId="46208BF4" w14:textId="62698174" w:rsidR="00123D43" w:rsidRDefault="00123D43" w:rsidP="00123D43"/>
    <w:p w14:paraId="04982067" w14:textId="43EDC507" w:rsidR="00123D43" w:rsidRDefault="00D75497" w:rsidP="00123D43">
      <w:r>
        <w:rPr>
          <w:noProof/>
        </w:rPr>
        <w:drawing>
          <wp:inline distT="0" distB="0" distL="0" distR="0" wp14:anchorId="6C861AA6" wp14:editId="66B3454D">
            <wp:extent cx="4572000" cy="27432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1B3D2E12-95EB-40B1-B7B9-86B32F8A9C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D90729F" w14:textId="25A5BAA2" w:rsidR="00C06364" w:rsidRDefault="00D75497" w:rsidP="00123D43">
      <w:r>
        <w:t xml:space="preserve">Both article Borrowing and Lending </w:t>
      </w:r>
      <w:r w:rsidR="0001412F">
        <w:t xml:space="preserve">in OCLC </w:t>
      </w:r>
      <w:r>
        <w:t>have decreased over time. Currently, the CSU system uses OCLC (</w:t>
      </w:r>
      <w:proofErr w:type="spellStart"/>
      <w:r>
        <w:t>ILLiad</w:t>
      </w:r>
      <w:proofErr w:type="spellEnd"/>
      <w:r>
        <w:t xml:space="preserve"> or </w:t>
      </w:r>
      <w:proofErr w:type="spellStart"/>
      <w:r>
        <w:t>WorldShare</w:t>
      </w:r>
      <w:proofErr w:type="spellEnd"/>
      <w:r>
        <w:t>) to process article requests</w:t>
      </w:r>
      <w:r w:rsidR="00883684">
        <w:t xml:space="preserve"> and does not have a system in place in Alma to process requests.</w:t>
      </w:r>
      <w:r w:rsidR="00E26436">
        <w:t xml:space="preserve"> </w:t>
      </w:r>
      <w:r w:rsidR="00864BD2">
        <w:t xml:space="preserve">Many libraries also use </w:t>
      </w:r>
      <w:proofErr w:type="spellStart"/>
      <w:r w:rsidR="00864BD2">
        <w:t>RapidILL</w:t>
      </w:r>
      <w:proofErr w:type="spellEnd"/>
      <w:r w:rsidR="00F97C22">
        <w:t>,</w:t>
      </w:r>
      <w:r w:rsidR="00864BD2">
        <w:t xml:space="preserve"> </w:t>
      </w:r>
      <w:r w:rsidR="00F97C22">
        <w:t>but</w:t>
      </w:r>
      <w:r w:rsidR="003666B7">
        <w:t xml:space="preserve"> unfortunately those statistics </w:t>
      </w:r>
      <w:r w:rsidR="007A583E">
        <w:t>are not currently available</w:t>
      </w:r>
      <w:r w:rsidR="00AE4C63">
        <w:t xml:space="preserve">. Once </w:t>
      </w:r>
      <w:proofErr w:type="spellStart"/>
      <w:r w:rsidR="00AE4C63">
        <w:t>RapidILL</w:t>
      </w:r>
      <w:proofErr w:type="spellEnd"/>
      <w:r w:rsidR="00AE4C63">
        <w:t xml:space="preserve"> numbers are available an update </w:t>
      </w:r>
      <w:r w:rsidR="00734C2F">
        <w:t xml:space="preserve">will be </w:t>
      </w:r>
      <w:r w:rsidR="0022261C">
        <w:t>sent to you</w:t>
      </w:r>
      <w:r w:rsidR="00AE4C63">
        <w:t xml:space="preserve">. </w:t>
      </w:r>
      <w:r w:rsidR="005C241A">
        <w:t xml:space="preserve">The pandemic didn’t have </w:t>
      </w:r>
      <w:r w:rsidR="005C241A">
        <w:lastRenderedPageBreak/>
        <w:t xml:space="preserve">as large of an impact on articles as it did on </w:t>
      </w:r>
      <w:r w:rsidR="007D0769">
        <w:t xml:space="preserve">physical loans. FY 2019/2020 did have a decrease in March </w:t>
      </w:r>
      <w:r w:rsidR="00340FD5">
        <w:t xml:space="preserve">coinciding with lockdowns, </w:t>
      </w:r>
      <w:r w:rsidR="00E26436">
        <w:t>possibly due to librar</w:t>
      </w:r>
      <w:r w:rsidR="00B5056F">
        <w:t xml:space="preserve">y staff being unable to scan articles and book chapters while the library is closed, </w:t>
      </w:r>
      <w:r w:rsidR="00340FD5">
        <w:t>but the digital nature of</w:t>
      </w:r>
      <w:r w:rsidR="00B5056F">
        <w:t xml:space="preserve"> </w:t>
      </w:r>
      <w:r w:rsidR="00340FD5">
        <w:t xml:space="preserve">article borrowing and lending </w:t>
      </w:r>
      <w:r w:rsidR="00414517">
        <w:t xml:space="preserve">may have made the </w:t>
      </w:r>
      <w:r w:rsidR="00FB6669">
        <w:rPr>
          <w:noProof/>
        </w:rPr>
        <w:drawing>
          <wp:anchor distT="0" distB="0" distL="114300" distR="114300" simplePos="0" relativeHeight="251663360" behindDoc="0" locked="0" layoutInCell="1" allowOverlap="1" wp14:anchorId="4F7E6EC2" wp14:editId="6E21F6D5">
            <wp:simplePos x="0" y="0"/>
            <wp:positionH relativeFrom="margin">
              <wp:posOffset>3219450</wp:posOffset>
            </wp:positionH>
            <wp:positionV relativeFrom="paragraph">
              <wp:posOffset>822960</wp:posOffset>
            </wp:positionV>
            <wp:extent cx="3200400" cy="1920240"/>
            <wp:effectExtent l="0" t="0" r="0" b="3810"/>
            <wp:wrapSquare wrapText="bothSides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608207BA-3F1F-4400-9FA2-51BB146BD5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669">
        <w:rPr>
          <w:noProof/>
        </w:rPr>
        <w:drawing>
          <wp:anchor distT="0" distB="0" distL="114300" distR="114300" simplePos="0" relativeHeight="251662336" behindDoc="0" locked="0" layoutInCell="1" allowOverlap="1" wp14:anchorId="71BB6F9A" wp14:editId="45C191FF">
            <wp:simplePos x="0" y="0"/>
            <wp:positionH relativeFrom="margin">
              <wp:posOffset>-76200</wp:posOffset>
            </wp:positionH>
            <wp:positionV relativeFrom="paragraph">
              <wp:posOffset>824865</wp:posOffset>
            </wp:positionV>
            <wp:extent cx="3171825" cy="1903095"/>
            <wp:effectExtent l="0" t="0" r="9525" b="1905"/>
            <wp:wrapSquare wrapText="bothSides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C432C7D4-6763-4B7A-8689-257C57A761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517">
        <w:t xml:space="preserve">decrease less dramatic. </w:t>
      </w:r>
    </w:p>
    <w:p w14:paraId="366C6350" w14:textId="77777777" w:rsidR="00B5056F" w:rsidRDefault="00B5056F" w:rsidP="00757948">
      <w:pPr>
        <w:rPr>
          <w:b/>
          <w:bCs/>
          <w:sz w:val="28"/>
          <w:szCs w:val="28"/>
        </w:rPr>
      </w:pPr>
    </w:p>
    <w:p w14:paraId="0225D8BA" w14:textId="77777777" w:rsidR="00B11D3B" w:rsidRDefault="00B11D3B" w:rsidP="007579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</w:t>
      </w:r>
    </w:p>
    <w:p w14:paraId="4708FA51" w14:textId="3A6572B5" w:rsidR="00B11D3B" w:rsidRPr="00B11D3B" w:rsidRDefault="003A1C26" w:rsidP="00757948">
      <w:r>
        <w:t>Overall CSU+ usage has grown while OCLC usage has slowly declined. This may be due t</w:t>
      </w:r>
      <w:r w:rsidR="00A02B83">
        <w:t>o</w:t>
      </w:r>
      <w:r>
        <w:t xml:space="preserve"> the increased visibility and ease of use of CSU+</w:t>
      </w:r>
      <w:r w:rsidR="00A02B83">
        <w:t xml:space="preserve">, at least for print items. </w:t>
      </w:r>
      <w:r w:rsidR="00C324D5">
        <w:t>Articles and book chapters are slowly de</w:t>
      </w:r>
      <w:r w:rsidR="00385A52">
        <w:t>creasing</w:t>
      </w:r>
      <w:r w:rsidR="00857C65">
        <w:t xml:space="preserve"> in use through OCLC products</w:t>
      </w:r>
      <w:r w:rsidR="0040191F">
        <w:t>.</w:t>
      </w:r>
      <w:r w:rsidR="00857C65">
        <w:t xml:space="preserve"> Further data is needed to see if the inclusion of </w:t>
      </w:r>
      <w:proofErr w:type="spellStart"/>
      <w:r w:rsidR="00857C65">
        <w:t>Rapid</w:t>
      </w:r>
      <w:r w:rsidR="00331E2D">
        <w:t>ILL</w:t>
      </w:r>
      <w:proofErr w:type="spellEnd"/>
      <w:r w:rsidR="00857C65">
        <w:t xml:space="preserve"> </w:t>
      </w:r>
      <w:r w:rsidR="00331E2D">
        <w:t>statistics reverses or follows this same trend.</w:t>
      </w:r>
      <w:r w:rsidR="0040191F">
        <w:t xml:space="preserve"> </w:t>
      </w:r>
      <w:r w:rsidR="00707A51">
        <w:t xml:space="preserve">Increasing the visibility and ease of </w:t>
      </w:r>
      <w:r w:rsidR="0009360D">
        <w:t xml:space="preserve">requesting articles through resource sharing may </w:t>
      </w:r>
      <w:r w:rsidR="0055602D">
        <w:t xml:space="preserve">also </w:t>
      </w:r>
      <w:r w:rsidR="0009360D">
        <w:t xml:space="preserve">help </w:t>
      </w:r>
      <w:r w:rsidR="0055602D">
        <w:t>increase usage</w:t>
      </w:r>
      <w:r w:rsidR="000C4A93">
        <w:t xml:space="preserve"> like it did with physical materials through CSU+. </w:t>
      </w:r>
    </w:p>
    <w:p w14:paraId="1AA1AE00" w14:textId="5F4188EF" w:rsidR="00757948" w:rsidRDefault="00757948" w:rsidP="007579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Q&amp;A</w:t>
      </w:r>
    </w:p>
    <w:p w14:paraId="702F29F7" w14:textId="78BBB6E1" w:rsidR="00731E7A" w:rsidRPr="00DD682D" w:rsidRDefault="00731E7A" w:rsidP="00757948">
      <w:r w:rsidRPr="00DD682D">
        <w:t>The following questions were a</w:t>
      </w:r>
      <w:r w:rsidR="00DD682D" w:rsidRPr="00DD682D">
        <w:t xml:space="preserve">sked by members of this council. </w:t>
      </w:r>
    </w:p>
    <w:p w14:paraId="479CE9A0" w14:textId="77777777" w:rsidR="00757948" w:rsidRPr="00B5056F" w:rsidRDefault="00757948" w:rsidP="00757948">
      <w:pPr>
        <w:rPr>
          <w:b/>
          <w:bCs/>
        </w:rPr>
      </w:pPr>
      <w:r w:rsidRPr="00B5056F">
        <w:rPr>
          <w:b/>
          <w:bCs/>
        </w:rPr>
        <w:t>Question 1: To what extent is there demand for ILL (books) beyond CSU+?</w:t>
      </w:r>
    </w:p>
    <w:p w14:paraId="58F9C371" w14:textId="3890BAB4" w:rsidR="00757948" w:rsidRDefault="00757948" w:rsidP="00757948">
      <w:r w:rsidRPr="006A00CB">
        <w:t xml:space="preserve">Prior to the pandemic, the need </w:t>
      </w:r>
      <w:r>
        <w:t>for shared physical materials grew as the service was integrated into our library system. Traditional resource sharing of physical materials outside of CSU+ has slowly dropped over time, with a sharper drop when libraries around the world closed. This decline is smaller than the growth of CSU+,</w:t>
      </w:r>
      <w:r w:rsidR="00FB4527">
        <w:t xml:space="preserve"> meaning we are still borrowing more physical materials</w:t>
      </w:r>
      <w:r w:rsidR="00C80BF7">
        <w:t xml:space="preserve"> than prior to the launch of CSU+. Even with the pandemic</w:t>
      </w:r>
      <w:r w:rsidR="00C24E00">
        <w:t xml:space="preserve">, the CSU system borrowed </w:t>
      </w:r>
      <w:r w:rsidR="00C24E00" w:rsidRPr="00C24E00">
        <w:t>80</w:t>
      </w:r>
      <w:r w:rsidR="00231A4C">
        <w:t>,</w:t>
      </w:r>
      <w:r w:rsidR="00C24E00" w:rsidRPr="00C24E00">
        <w:t>326</w:t>
      </w:r>
      <w:r w:rsidR="00C24E00">
        <w:t xml:space="preserve"> items from other </w:t>
      </w:r>
      <w:r w:rsidR="0030319D">
        <w:t xml:space="preserve">libraries both inside and outside the CSU system. </w:t>
      </w:r>
      <w:r w:rsidR="00C24E00">
        <w:t xml:space="preserve"> </w:t>
      </w:r>
    </w:p>
    <w:p w14:paraId="00CBBB65" w14:textId="77777777" w:rsidR="00757948" w:rsidRPr="00B5056F" w:rsidRDefault="00757948" w:rsidP="00757948">
      <w:pPr>
        <w:rPr>
          <w:b/>
          <w:bCs/>
        </w:rPr>
      </w:pPr>
      <w:r w:rsidRPr="00B5056F">
        <w:rPr>
          <w:b/>
          <w:bCs/>
        </w:rPr>
        <w:t xml:space="preserve">Question 2: Is ILL becoming less important overall due to the rise of </w:t>
      </w:r>
      <w:proofErr w:type="spellStart"/>
      <w:r w:rsidRPr="00B5056F">
        <w:rPr>
          <w:b/>
          <w:bCs/>
        </w:rPr>
        <w:t>ebooks</w:t>
      </w:r>
      <w:proofErr w:type="spellEnd"/>
      <w:r w:rsidRPr="00B5056F">
        <w:rPr>
          <w:b/>
          <w:bCs/>
        </w:rPr>
        <w:t>?</w:t>
      </w:r>
    </w:p>
    <w:p w14:paraId="42ED09E7" w14:textId="05BA494C" w:rsidR="00757948" w:rsidRDefault="00435B06" w:rsidP="00757948">
      <w:r>
        <w:t xml:space="preserve">The sharing of entire print books </w:t>
      </w:r>
      <w:r w:rsidR="00F13E68">
        <w:t>was</w:t>
      </w:r>
      <w:r>
        <w:t xml:space="preserve"> continuing to rise </w:t>
      </w:r>
      <w:r w:rsidR="00F13E68">
        <w:t>prior to the pandemic,</w:t>
      </w:r>
      <w:r>
        <w:t xml:space="preserve"> showing that </w:t>
      </w:r>
      <w:r w:rsidR="00FD71C7">
        <w:t xml:space="preserve">Resource Sharing has continued to be relevant with the growing popularity of </w:t>
      </w:r>
      <w:proofErr w:type="spellStart"/>
      <w:r w:rsidR="00FD71C7">
        <w:t>ebooks</w:t>
      </w:r>
      <w:proofErr w:type="spellEnd"/>
      <w:r w:rsidR="00FD71C7">
        <w:t xml:space="preserve">. </w:t>
      </w:r>
      <w:r w:rsidR="003B2FDA">
        <w:t xml:space="preserve">We have yet to see how the pandemic </w:t>
      </w:r>
      <w:r w:rsidR="00444D51">
        <w:t xml:space="preserve">will impact future </w:t>
      </w:r>
      <w:r w:rsidR="00732764">
        <w:t>patrons’</w:t>
      </w:r>
      <w:r w:rsidR="00444D51">
        <w:t xml:space="preserve"> preferences between print and </w:t>
      </w:r>
      <w:proofErr w:type="spellStart"/>
      <w:r w:rsidR="00444D51">
        <w:t>ebook</w:t>
      </w:r>
      <w:proofErr w:type="spellEnd"/>
      <w:r w:rsidR="00444D51">
        <w:t xml:space="preserve"> copies. </w:t>
      </w:r>
    </w:p>
    <w:p w14:paraId="7DA74948" w14:textId="5DEAFB62" w:rsidR="00B5056F" w:rsidRDefault="00E82D53" w:rsidP="00757948">
      <w:pPr>
        <w:rPr>
          <w:b/>
          <w:bCs/>
        </w:rPr>
      </w:pPr>
      <w:r w:rsidRPr="00E82D53">
        <w:rPr>
          <w:b/>
          <w:bCs/>
        </w:rPr>
        <w:t xml:space="preserve">Question 3: </w:t>
      </w:r>
      <w:r w:rsidR="001D7CAE" w:rsidRPr="00E82D53">
        <w:rPr>
          <w:b/>
          <w:bCs/>
        </w:rPr>
        <w:t xml:space="preserve">How many pods would be necessary </w:t>
      </w:r>
      <w:r w:rsidR="00460A2B" w:rsidRPr="00E82D53">
        <w:rPr>
          <w:b/>
          <w:bCs/>
        </w:rPr>
        <w:t xml:space="preserve">for the CSU’s to benefit from Rapido while simultaneously running </w:t>
      </w:r>
      <w:proofErr w:type="spellStart"/>
      <w:r w:rsidRPr="00E82D53">
        <w:rPr>
          <w:b/>
          <w:bCs/>
        </w:rPr>
        <w:t>ILLiad</w:t>
      </w:r>
      <w:proofErr w:type="spellEnd"/>
      <w:r w:rsidRPr="00E82D53">
        <w:rPr>
          <w:b/>
          <w:bCs/>
        </w:rPr>
        <w:t>?</w:t>
      </w:r>
    </w:p>
    <w:p w14:paraId="1ABABE5D" w14:textId="4522BB14" w:rsidR="008B2361" w:rsidRDefault="008B2361" w:rsidP="00757948">
      <w:r w:rsidRPr="008B2361">
        <w:lastRenderedPageBreak/>
        <w:t>Currently</w:t>
      </w:r>
      <w:r>
        <w:t xml:space="preserve"> we do not know how many pods are available through </w:t>
      </w:r>
      <w:r w:rsidR="00FC76FE">
        <w:t>Rapido. Pods work differently in Rapido</w:t>
      </w:r>
      <w:r w:rsidR="00572270">
        <w:t xml:space="preserve"> than they do in </w:t>
      </w:r>
      <w:proofErr w:type="spellStart"/>
      <w:r w:rsidR="00572270">
        <w:t>RapidILL</w:t>
      </w:r>
      <w:proofErr w:type="spellEnd"/>
      <w:r w:rsidR="00572270">
        <w:t>. In Rapido</w:t>
      </w:r>
      <w:r w:rsidR="00FC76FE">
        <w:t xml:space="preserve"> you put in your </w:t>
      </w:r>
      <w:r w:rsidR="00AA5764">
        <w:t xml:space="preserve">library’s </w:t>
      </w:r>
      <w:r w:rsidR="00FC76FE">
        <w:t>desired parameters and Ex Libris puts you in pods t</w:t>
      </w:r>
      <w:r w:rsidR="00AA5764">
        <w:t>hat</w:t>
      </w:r>
      <w:r w:rsidR="00FC76FE">
        <w:t xml:space="preserve"> meet those parameters. There is no charge for adding additional pods, so </w:t>
      </w:r>
      <w:r w:rsidR="004453ED">
        <w:t>we should be able to join every California based pod</w:t>
      </w:r>
      <w:r w:rsidR="001B7DB6">
        <w:t xml:space="preserve"> for physical items and nearly every pod for article and book chapter scans. </w:t>
      </w:r>
    </w:p>
    <w:p w14:paraId="606FD0A5" w14:textId="160EFF40" w:rsidR="005D0988" w:rsidRDefault="005D0988" w:rsidP="005D0988">
      <w:pPr>
        <w:rPr>
          <w:b/>
          <w:bCs/>
        </w:rPr>
      </w:pPr>
      <w:r w:rsidRPr="00400C57">
        <w:rPr>
          <w:b/>
          <w:bCs/>
        </w:rPr>
        <w:t xml:space="preserve">Would this product </w:t>
      </w:r>
      <w:r w:rsidR="00043AC8">
        <w:rPr>
          <w:b/>
          <w:bCs/>
        </w:rPr>
        <w:t>(Rapido</w:t>
      </w:r>
      <w:r w:rsidR="00633B98">
        <w:rPr>
          <w:b/>
          <w:bCs/>
        </w:rPr>
        <w:t xml:space="preserve">) </w:t>
      </w:r>
      <w:r w:rsidRPr="00400C57">
        <w:rPr>
          <w:b/>
          <w:bCs/>
        </w:rPr>
        <w:t>eventually replace CSU+?</w:t>
      </w:r>
    </w:p>
    <w:p w14:paraId="7757E3DE" w14:textId="737BDE00" w:rsidR="00400C57" w:rsidRDefault="005A6EF8" w:rsidP="005A6EF8">
      <w:r w:rsidRPr="005A6EF8">
        <w:t xml:space="preserve">If everyone was on Rapido, the CSU would use Rapido </w:t>
      </w:r>
      <w:r w:rsidR="00B1059C">
        <w:t xml:space="preserve">workflows </w:t>
      </w:r>
      <w:r w:rsidRPr="005A6EF8">
        <w:t xml:space="preserve">to fill CSU+ requests. </w:t>
      </w:r>
      <w:r w:rsidR="00C049B5">
        <w:t>CSU+ would still exist</w:t>
      </w:r>
      <w:r w:rsidR="00A44E89">
        <w:t xml:space="preserve">, it would just take advantage of Rapido enhancements. </w:t>
      </w:r>
    </w:p>
    <w:p w14:paraId="72009AF6" w14:textId="2707B7B8" w:rsidR="00C77ADE" w:rsidRPr="00C77ADE" w:rsidRDefault="00C77ADE" w:rsidP="005A6EF8">
      <w:pPr>
        <w:rPr>
          <w:b/>
          <w:bCs/>
        </w:rPr>
      </w:pPr>
      <w:r w:rsidRPr="00C77ADE">
        <w:rPr>
          <w:b/>
          <w:bCs/>
        </w:rPr>
        <w:t>Does E</w:t>
      </w:r>
      <w:r w:rsidRPr="00C77ADE">
        <w:rPr>
          <w:b/>
          <w:bCs/>
        </w:rPr>
        <w:t xml:space="preserve">x </w:t>
      </w:r>
      <w:r w:rsidRPr="00C77ADE">
        <w:rPr>
          <w:b/>
          <w:bCs/>
        </w:rPr>
        <w:t>L</w:t>
      </w:r>
      <w:r w:rsidRPr="00C77ADE">
        <w:rPr>
          <w:b/>
          <w:bCs/>
        </w:rPr>
        <w:t>ibris</w:t>
      </w:r>
      <w:r w:rsidRPr="00C77ADE">
        <w:rPr>
          <w:b/>
          <w:bCs/>
        </w:rPr>
        <w:t xml:space="preserve"> plan to charge for every Rapido transaction?</w:t>
      </w:r>
    </w:p>
    <w:p w14:paraId="6E1FDFD0" w14:textId="381EAD00" w:rsidR="00C77ADE" w:rsidRPr="00400C57" w:rsidRDefault="00C77ADE" w:rsidP="005A6EF8">
      <w:r>
        <w:t>There isn’t a transactional charge</w:t>
      </w:r>
      <w:r w:rsidR="00C4134A">
        <w:t xml:space="preserve"> in Rapido. </w:t>
      </w:r>
      <w:bookmarkStart w:id="0" w:name="_GoBack"/>
      <w:bookmarkEnd w:id="0"/>
    </w:p>
    <w:sectPr w:rsidR="00C77ADE" w:rsidRPr="00400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43"/>
    <w:rsid w:val="000077A2"/>
    <w:rsid w:val="0001412F"/>
    <w:rsid w:val="00043AC8"/>
    <w:rsid w:val="00055F7D"/>
    <w:rsid w:val="000711A4"/>
    <w:rsid w:val="00086D0A"/>
    <w:rsid w:val="0009360D"/>
    <w:rsid w:val="000B05B5"/>
    <w:rsid w:val="000C4A93"/>
    <w:rsid w:val="000E1AEF"/>
    <w:rsid w:val="000E1EC8"/>
    <w:rsid w:val="000F667C"/>
    <w:rsid w:val="00112BD9"/>
    <w:rsid w:val="00123D43"/>
    <w:rsid w:val="00151F7C"/>
    <w:rsid w:val="00154E6A"/>
    <w:rsid w:val="001910B5"/>
    <w:rsid w:val="001B7DB6"/>
    <w:rsid w:val="001D7CAE"/>
    <w:rsid w:val="001E1746"/>
    <w:rsid w:val="001E41FF"/>
    <w:rsid w:val="001F0D65"/>
    <w:rsid w:val="001F48CA"/>
    <w:rsid w:val="00204102"/>
    <w:rsid w:val="00217404"/>
    <w:rsid w:val="0022261C"/>
    <w:rsid w:val="00231A4C"/>
    <w:rsid w:val="002777C1"/>
    <w:rsid w:val="002D77A7"/>
    <w:rsid w:val="003030C2"/>
    <w:rsid w:val="0030319D"/>
    <w:rsid w:val="0032289E"/>
    <w:rsid w:val="00331E2D"/>
    <w:rsid w:val="00334D1B"/>
    <w:rsid w:val="00340FD5"/>
    <w:rsid w:val="003469CD"/>
    <w:rsid w:val="00361D53"/>
    <w:rsid w:val="003666B7"/>
    <w:rsid w:val="00371D6E"/>
    <w:rsid w:val="00385A52"/>
    <w:rsid w:val="003875E8"/>
    <w:rsid w:val="003A1C26"/>
    <w:rsid w:val="003B2FDA"/>
    <w:rsid w:val="003B3A9A"/>
    <w:rsid w:val="003D6467"/>
    <w:rsid w:val="003E0084"/>
    <w:rsid w:val="00400C57"/>
    <w:rsid w:val="0040191F"/>
    <w:rsid w:val="00414517"/>
    <w:rsid w:val="00435B06"/>
    <w:rsid w:val="00444D51"/>
    <w:rsid w:val="004453ED"/>
    <w:rsid w:val="0045218C"/>
    <w:rsid w:val="00460A2B"/>
    <w:rsid w:val="004A4064"/>
    <w:rsid w:val="004B7058"/>
    <w:rsid w:val="00531509"/>
    <w:rsid w:val="0055602D"/>
    <w:rsid w:val="00572270"/>
    <w:rsid w:val="005A5302"/>
    <w:rsid w:val="005A6EF8"/>
    <w:rsid w:val="005C241A"/>
    <w:rsid w:val="005D0988"/>
    <w:rsid w:val="005D23B8"/>
    <w:rsid w:val="005E712B"/>
    <w:rsid w:val="005F2CFA"/>
    <w:rsid w:val="005F578D"/>
    <w:rsid w:val="00601666"/>
    <w:rsid w:val="0061556E"/>
    <w:rsid w:val="00620B7A"/>
    <w:rsid w:val="006221E1"/>
    <w:rsid w:val="00633B98"/>
    <w:rsid w:val="00643B74"/>
    <w:rsid w:val="0069504C"/>
    <w:rsid w:val="006A00CB"/>
    <w:rsid w:val="006A74B1"/>
    <w:rsid w:val="006F0FFF"/>
    <w:rsid w:val="00707A51"/>
    <w:rsid w:val="00713E9F"/>
    <w:rsid w:val="00722A57"/>
    <w:rsid w:val="007261F5"/>
    <w:rsid w:val="007275AB"/>
    <w:rsid w:val="00731E7A"/>
    <w:rsid w:val="00732764"/>
    <w:rsid w:val="007341B5"/>
    <w:rsid w:val="00734C2F"/>
    <w:rsid w:val="00741CCE"/>
    <w:rsid w:val="00757948"/>
    <w:rsid w:val="0076188F"/>
    <w:rsid w:val="00764E6C"/>
    <w:rsid w:val="00774DCE"/>
    <w:rsid w:val="00791D5D"/>
    <w:rsid w:val="00796166"/>
    <w:rsid w:val="007A583E"/>
    <w:rsid w:val="007B721F"/>
    <w:rsid w:val="007D0769"/>
    <w:rsid w:val="007F2BA2"/>
    <w:rsid w:val="00825BF0"/>
    <w:rsid w:val="00830FD3"/>
    <w:rsid w:val="00837764"/>
    <w:rsid w:val="00843D5F"/>
    <w:rsid w:val="00844275"/>
    <w:rsid w:val="00857C65"/>
    <w:rsid w:val="00864BD2"/>
    <w:rsid w:val="00866A7F"/>
    <w:rsid w:val="00873E68"/>
    <w:rsid w:val="00883684"/>
    <w:rsid w:val="0088486B"/>
    <w:rsid w:val="008864A7"/>
    <w:rsid w:val="00897970"/>
    <w:rsid w:val="008B2361"/>
    <w:rsid w:val="008C5B49"/>
    <w:rsid w:val="008C6477"/>
    <w:rsid w:val="00983701"/>
    <w:rsid w:val="00990F14"/>
    <w:rsid w:val="009A7036"/>
    <w:rsid w:val="009F273D"/>
    <w:rsid w:val="00A02B83"/>
    <w:rsid w:val="00A35160"/>
    <w:rsid w:val="00A4131D"/>
    <w:rsid w:val="00A44E89"/>
    <w:rsid w:val="00A67A9F"/>
    <w:rsid w:val="00A84BDB"/>
    <w:rsid w:val="00AA5764"/>
    <w:rsid w:val="00AE4C63"/>
    <w:rsid w:val="00AF2990"/>
    <w:rsid w:val="00AF6C53"/>
    <w:rsid w:val="00B1059C"/>
    <w:rsid w:val="00B11D3B"/>
    <w:rsid w:val="00B21DE6"/>
    <w:rsid w:val="00B364B4"/>
    <w:rsid w:val="00B5056F"/>
    <w:rsid w:val="00B84E80"/>
    <w:rsid w:val="00B924D2"/>
    <w:rsid w:val="00BA7559"/>
    <w:rsid w:val="00BF64F8"/>
    <w:rsid w:val="00C049B5"/>
    <w:rsid w:val="00C06364"/>
    <w:rsid w:val="00C24E00"/>
    <w:rsid w:val="00C324D5"/>
    <w:rsid w:val="00C4134A"/>
    <w:rsid w:val="00C72B2C"/>
    <w:rsid w:val="00C733B9"/>
    <w:rsid w:val="00C77ADE"/>
    <w:rsid w:val="00C80BF7"/>
    <w:rsid w:val="00C926E2"/>
    <w:rsid w:val="00CC6B0D"/>
    <w:rsid w:val="00CE1DB9"/>
    <w:rsid w:val="00CF5B00"/>
    <w:rsid w:val="00D4546A"/>
    <w:rsid w:val="00D46CAB"/>
    <w:rsid w:val="00D575F0"/>
    <w:rsid w:val="00D64C39"/>
    <w:rsid w:val="00D655A0"/>
    <w:rsid w:val="00D75497"/>
    <w:rsid w:val="00D77551"/>
    <w:rsid w:val="00DA0107"/>
    <w:rsid w:val="00DD682D"/>
    <w:rsid w:val="00DE4CB7"/>
    <w:rsid w:val="00E01BCC"/>
    <w:rsid w:val="00E26436"/>
    <w:rsid w:val="00E446F1"/>
    <w:rsid w:val="00E776FD"/>
    <w:rsid w:val="00E82D53"/>
    <w:rsid w:val="00E831C7"/>
    <w:rsid w:val="00EA743A"/>
    <w:rsid w:val="00EC0A89"/>
    <w:rsid w:val="00EE0526"/>
    <w:rsid w:val="00EE41B3"/>
    <w:rsid w:val="00EF0C9A"/>
    <w:rsid w:val="00EF511A"/>
    <w:rsid w:val="00F13E68"/>
    <w:rsid w:val="00F37D21"/>
    <w:rsid w:val="00F464CC"/>
    <w:rsid w:val="00F60BC9"/>
    <w:rsid w:val="00F72D5B"/>
    <w:rsid w:val="00F773BC"/>
    <w:rsid w:val="00F97C22"/>
    <w:rsid w:val="00FA0553"/>
    <w:rsid w:val="00FA792B"/>
    <w:rsid w:val="00FB4527"/>
    <w:rsid w:val="00FB6669"/>
    <w:rsid w:val="00FC76FE"/>
    <w:rsid w:val="00FD4609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3A242"/>
  <w15:chartTrackingRefBased/>
  <w15:docId w15:val="{4F62AA85-8770-4A0C-BF8A-3E758DA6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customXml" Target="../customXml/item3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styles" Target="style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thecsu-my.sharepoint.com/personal/cwlee_calstate_edu/Documents/Documents/Statistics/Stats%20Combine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thecsu-my.sharepoint.com/personal/cwlee_calstate_edu/Documents/Documents/Statistics/Stats%20Combine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thecsu-my.sharepoint.com/personal/cwlee_calstate_edu/Documents/Documents/Statistics/Stats%20Combine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thecsu-my.sharepoint.com/personal/cwlee_calstate_edu/Documents/Documents/Statistics/Stats%20Combined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thecsu-my.sharepoint.com/personal/cwlee_calstate_edu/Documents/Documents/Statistics/Stats%20Combined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thecsu-my.sharepoint.com/personal/cwlee_calstate_edu/Documents/Documents/Statistics/Stats%20Combined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thecsu-my.sharepoint.com/personal/cwlee_calstate_edu/Documents/Documents/Statistics/Stats%20Combined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thecsu-my.sharepoint.com/personal/cwlee_calstate_edu/Documents/Documents/Statistics/Stats%20Combined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thecsu-my.sharepoint.com/personal/cwlee_calstate_edu/Documents/Documents/Statistics/Stats%20Combined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Borrowing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Results!$B$3</c:f>
              <c:strCache>
                <c:ptCount val="1"/>
                <c:pt idx="0">
                  <c:v>CSU+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Results!$C$2:$G$2</c:f>
              <c:strCache>
                <c:ptCount val="5"/>
                <c:pt idx="0">
                  <c:v>FY 15/16</c:v>
                </c:pt>
                <c:pt idx="1">
                  <c:v>FY 16/17</c:v>
                </c:pt>
                <c:pt idx="2">
                  <c:v>FY 17/18</c:v>
                </c:pt>
                <c:pt idx="3">
                  <c:v>FY 18/19</c:v>
                </c:pt>
                <c:pt idx="4">
                  <c:v>FY 19/20</c:v>
                </c:pt>
              </c:strCache>
            </c:strRef>
          </c:cat>
          <c:val>
            <c:numRef>
              <c:f>Results!$C$3:$G$3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56120</c:v>
                </c:pt>
                <c:pt idx="3">
                  <c:v>65945</c:v>
                </c:pt>
                <c:pt idx="4">
                  <c:v>55412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00-4A3A-A4D9-7DF7C33546E4}"/>
            </c:ext>
          </c:extLst>
        </c:ser>
        <c:ser>
          <c:idx val="1"/>
          <c:order val="1"/>
          <c:tx>
            <c:strRef>
              <c:f>Results!$B$4</c:f>
              <c:strCache>
                <c:ptCount val="1"/>
                <c:pt idx="0">
                  <c:v>OCLC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Results!$C$2:$G$2</c:f>
              <c:strCache>
                <c:ptCount val="5"/>
                <c:pt idx="0">
                  <c:v>FY 15/16</c:v>
                </c:pt>
                <c:pt idx="1">
                  <c:v>FY 16/17</c:v>
                </c:pt>
                <c:pt idx="2">
                  <c:v>FY 17/18</c:v>
                </c:pt>
                <c:pt idx="3">
                  <c:v>FY 18/19</c:v>
                </c:pt>
                <c:pt idx="4">
                  <c:v>FY 19/20</c:v>
                </c:pt>
              </c:strCache>
            </c:strRef>
          </c:cat>
          <c:val>
            <c:numRef>
              <c:f>Results!$C$4:$G$4</c:f>
              <c:numCache>
                <c:formatCode>General</c:formatCode>
                <c:ptCount val="5"/>
                <c:pt idx="0">
                  <c:v>39938</c:v>
                </c:pt>
                <c:pt idx="1">
                  <c:v>35392</c:v>
                </c:pt>
                <c:pt idx="2">
                  <c:v>35566</c:v>
                </c:pt>
                <c:pt idx="3">
                  <c:v>33368</c:v>
                </c:pt>
                <c:pt idx="4">
                  <c:v>24914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00-4A3A-A4D9-7DF7C33546E4}"/>
            </c:ext>
          </c:extLst>
        </c:ser>
        <c:ser>
          <c:idx val="2"/>
          <c:order val="2"/>
          <c:tx>
            <c:strRef>
              <c:f>Results!$B$5</c:f>
              <c:strCache>
                <c:ptCount val="1"/>
                <c:pt idx="0">
                  <c:v>Grand Total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Results!$C$2:$G$2</c:f>
              <c:strCache>
                <c:ptCount val="5"/>
                <c:pt idx="0">
                  <c:v>FY 15/16</c:v>
                </c:pt>
                <c:pt idx="1">
                  <c:v>FY 16/17</c:v>
                </c:pt>
                <c:pt idx="2">
                  <c:v>FY 17/18</c:v>
                </c:pt>
                <c:pt idx="3">
                  <c:v>FY 18/19</c:v>
                </c:pt>
                <c:pt idx="4">
                  <c:v>FY 19/20</c:v>
                </c:pt>
              </c:strCache>
            </c:strRef>
          </c:cat>
          <c:val>
            <c:numRef>
              <c:f>Results!$C$5:$G$5</c:f>
              <c:numCache>
                <c:formatCode>General</c:formatCode>
                <c:ptCount val="5"/>
                <c:pt idx="0">
                  <c:v>39938</c:v>
                </c:pt>
                <c:pt idx="1">
                  <c:v>35392</c:v>
                </c:pt>
                <c:pt idx="2">
                  <c:v>91686</c:v>
                </c:pt>
                <c:pt idx="3">
                  <c:v>99313</c:v>
                </c:pt>
                <c:pt idx="4">
                  <c:v>80326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00-4A3A-A4D9-7DF7C33546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830415"/>
        <c:axId val="297457999"/>
      </c:barChart>
      <c:catAx>
        <c:axId val="7128304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7457999"/>
        <c:crosses val="autoZero"/>
        <c:auto val="1"/>
        <c:lblAlgn val="ctr"/>
        <c:lblOffset val="100"/>
        <c:noMultiLvlLbl val="0"/>
      </c:catAx>
      <c:valAx>
        <c:axId val="2974579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28304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CSU+ Physical</a:t>
            </a:r>
            <a:r>
              <a:rPr lang="en-US" baseline="0"/>
              <a:t> Borrowing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Results!$C$57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Results!$B$58:$B$69</c:f>
              <c:strCache>
                <c:ptCount val="12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  <c:pt idx="3">
                  <c:v>October</c:v>
                </c:pt>
                <c:pt idx="4">
                  <c:v>November</c:v>
                </c:pt>
                <c:pt idx="5">
                  <c:v>December</c:v>
                </c:pt>
                <c:pt idx="6">
                  <c:v>January</c:v>
                </c:pt>
                <c:pt idx="7">
                  <c:v>February</c:v>
                </c:pt>
                <c:pt idx="8">
                  <c:v>March</c:v>
                </c:pt>
                <c:pt idx="9">
                  <c:v>April</c:v>
                </c:pt>
                <c:pt idx="10">
                  <c:v>May</c:v>
                </c:pt>
                <c:pt idx="11">
                  <c:v>June</c:v>
                </c:pt>
              </c:strCache>
            </c:strRef>
          </c:cat>
          <c:val>
            <c:numRef>
              <c:f>Results!$C$58:$C$69</c:f>
              <c:numCache>
                <c:formatCode>General</c:formatCode>
                <c:ptCount val="12"/>
                <c:pt idx="0">
                  <c:v>2542</c:v>
                </c:pt>
                <c:pt idx="1">
                  <c:v>5927</c:v>
                </c:pt>
                <c:pt idx="2">
                  <c:v>6605</c:v>
                </c:pt>
                <c:pt idx="3">
                  <c:v>7108</c:v>
                </c:pt>
                <c:pt idx="4">
                  <c:v>5126</c:v>
                </c:pt>
                <c:pt idx="5">
                  <c:v>2780</c:v>
                </c:pt>
                <c:pt idx="6">
                  <c:v>8198</c:v>
                </c:pt>
                <c:pt idx="7">
                  <c:v>7155</c:v>
                </c:pt>
                <c:pt idx="8">
                  <c:v>6973</c:v>
                </c:pt>
                <c:pt idx="9">
                  <c:v>6486</c:v>
                </c:pt>
                <c:pt idx="10">
                  <c:v>3959</c:v>
                </c:pt>
                <c:pt idx="11">
                  <c:v>3086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4D0-4796-8713-2827CE1A080F}"/>
            </c:ext>
          </c:extLst>
        </c:ser>
        <c:ser>
          <c:idx val="1"/>
          <c:order val="1"/>
          <c:tx>
            <c:strRef>
              <c:f>Results!$D$57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Results!$B$58:$B$69</c:f>
              <c:strCache>
                <c:ptCount val="12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  <c:pt idx="3">
                  <c:v>October</c:v>
                </c:pt>
                <c:pt idx="4">
                  <c:v>November</c:v>
                </c:pt>
                <c:pt idx="5">
                  <c:v>December</c:v>
                </c:pt>
                <c:pt idx="6">
                  <c:v>January</c:v>
                </c:pt>
                <c:pt idx="7">
                  <c:v>February</c:v>
                </c:pt>
                <c:pt idx="8">
                  <c:v>March</c:v>
                </c:pt>
                <c:pt idx="9">
                  <c:v>April</c:v>
                </c:pt>
                <c:pt idx="10">
                  <c:v>May</c:v>
                </c:pt>
                <c:pt idx="11">
                  <c:v>June</c:v>
                </c:pt>
              </c:strCache>
            </c:strRef>
          </c:cat>
          <c:val>
            <c:numRef>
              <c:f>Results!$D$58:$D$69</c:f>
              <c:numCache>
                <c:formatCode>General</c:formatCode>
                <c:ptCount val="12"/>
                <c:pt idx="0">
                  <c:v>3055</c:v>
                </c:pt>
                <c:pt idx="1">
                  <c:v>6978</c:v>
                </c:pt>
                <c:pt idx="2">
                  <c:v>8330</c:v>
                </c:pt>
                <c:pt idx="3">
                  <c:v>8059</c:v>
                </c:pt>
                <c:pt idx="4">
                  <c:v>6264</c:v>
                </c:pt>
                <c:pt idx="5">
                  <c:v>3101</c:v>
                </c:pt>
                <c:pt idx="6">
                  <c:v>8296</c:v>
                </c:pt>
                <c:pt idx="7">
                  <c:v>8298</c:v>
                </c:pt>
                <c:pt idx="8">
                  <c:v>3031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4D0-4796-8713-2827CE1A08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60137711"/>
        <c:axId val="658156335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Results!$E$57</c15:sqref>
                        </c15:formulaRef>
                      </c:ext>
                    </c:extLst>
                    <c:strCache>
                      <c:ptCount val="1"/>
                      <c:pt idx="0">
                        <c:v>Grand Total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Results!$B$58:$B$69</c15:sqref>
                        </c15:formulaRef>
                      </c:ext>
                    </c:extLst>
                    <c:strCache>
                      <c:ptCount val="12"/>
                      <c:pt idx="0">
                        <c:v>July</c:v>
                      </c:pt>
                      <c:pt idx="1">
                        <c:v>August</c:v>
                      </c:pt>
                      <c:pt idx="2">
                        <c:v>September</c:v>
                      </c:pt>
                      <c:pt idx="3">
                        <c:v>October</c:v>
                      </c:pt>
                      <c:pt idx="4">
                        <c:v>November</c:v>
                      </c:pt>
                      <c:pt idx="5">
                        <c:v>December</c:v>
                      </c:pt>
                      <c:pt idx="6">
                        <c:v>January</c:v>
                      </c:pt>
                      <c:pt idx="7">
                        <c:v>February</c:v>
                      </c:pt>
                      <c:pt idx="8">
                        <c:v>March</c:v>
                      </c:pt>
                      <c:pt idx="9">
                        <c:v>April</c:v>
                      </c:pt>
                      <c:pt idx="10">
                        <c:v>May</c:v>
                      </c:pt>
                      <c:pt idx="11">
                        <c:v>June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Results!$E$58:$E$69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5597</c:v>
                      </c:pt>
                      <c:pt idx="1">
                        <c:v>12905</c:v>
                      </c:pt>
                      <c:pt idx="2">
                        <c:v>14935</c:v>
                      </c:pt>
                      <c:pt idx="3">
                        <c:v>15167</c:v>
                      </c:pt>
                      <c:pt idx="4">
                        <c:v>11390</c:v>
                      </c:pt>
                      <c:pt idx="5">
                        <c:v>5881</c:v>
                      </c:pt>
                      <c:pt idx="6">
                        <c:v>16494</c:v>
                      </c:pt>
                      <c:pt idx="7">
                        <c:v>15453</c:v>
                      </c:pt>
                      <c:pt idx="8">
                        <c:v>10004</c:v>
                      </c:pt>
                      <c:pt idx="9">
                        <c:v>6486</c:v>
                      </c:pt>
                      <c:pt idx="10">
                        <c:v>3959</c:v>
                      </c:pt>
                      <c:pt idx="11">
                        <c:v>3086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A4D0-4796-8713-2827CE1A080F}"/>
                  </c:ext>
                </c:extLst>
              </c15:ser>
            </c15:filteredLineSeries>
          </c:ext>
        </c:extLst>
      </c:lineChart>
      <c:catAx>
        <c:axId val="6601377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8156335"/>
        <c:crosses val="autoZero"/>
        <c:auto val="1"/>
        <c:lblAlgn val="ctr"/>
        <c:lblOffset val="100"/>
        <c:noMultiLvlLbl val="0"/>
      </c:catAx>
      <c:valAx>
        <c:axId val="658156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1377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OCLC Physical Borrowing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Results!$C$42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Results!$B$43:$B$54</c:f>
              <c:strCache>
                <c:ptCount val="12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  <c:pt idx="3">
                  <c:v>October</c:v>
                </c:pt>
                <c:pt idx="4">
                  <c:v>November</c:v>
                </c:pt>
                <c:pt idx="5">
                  <c:v>December</c:v>
                </c:pt>
                <c:pt idx="6">
                  <c:v>January</c:v>
                </c:pt>
                <c:pt idx="7">
                  <c:v>February</c:v>
                </c:pt>
                <c:pt idx="8">
                  <c:v>March</c:v>
                </c:pt>
                <c:pt idx="9">
                  <c:v>April</c:v>
                </c:pt>
                <c:pt idx="10">
                  <c:v>May</c:v>
                </c:pt>
                <c:pt idx="11">
                  <c:v>June</c:v>
                </c:pt>
              </c:strCache>
            </c:strRef>
          </c:cat>
          <c:val>
            <c:numRef>
              <c:f>Results!$C$43:$C$54</c:f>
              <c:numCache>
                <c:formatCode>General</c:formatCode>
                <c:ptCount val="12"/>
                <c:pt idx="0">
                  <c:v>1956</c:v>
                </c:pt>
                <c:pt idx="1">
                  <c:v>2677</c:v>
                </c:pt>
                <c:pt idx="2">
                  <c:v>3547</c:v>
                </c:pt>
                <c:pt idx="3">
                  <c:v>3712</c:v>
                </c:pt>
                <c:pt idx="4">
                  <c:v>2650</c:v>
                </c:pt>
                <c:pt idx="5">
                  <c:v>1610</c:v>
                </c:pt>
                <c:pt idx="6">
                  <c:v>3028</c:v>
                </c:pt>
                <c:pt idx="7">
                  <c:v>4079</c:v>
                </c:pt>
                <c:pt idx="8">
                  <c:v>3203</c:v>
                </c:pt>
                <c:pt idx="9">
                  <c:v>2937</c:v>
                </c:pt>
                <c:pt idx="10">
                  <c:v>2112</c:v>
                </c:pt>
                <c:pt idx="11">
                  <c:v>1857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15F-4F03-81C7-A4944EDD467E}"/>
            </c:ext>
          </c:extLst>
        </c:ser>
        <c:ser>
          <c:idx val="1"/>
          <c:order val="1"/>
          <c:tx>
            <c:strRef>
              <c:f>Results!$D$42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Results!$B$43:$B$54</c:f>
              <c:strCache>
                <c:ptCount val="12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  <c:pt idx="3">
                  <c:v>October</c:v>
                </c:pt>
                <c:pt idx="4">
                  <c:v>November</c:v>
                </c:pt>
                <c:pt idx="5">
                  <c:v>December</c:v>
                </c:pt>
                <c:pt idx="6">
                  <c:v>January</c:v>
                </c:pt>
                <c:pt idx="7">
                  <c:v>February</c:v>
                </c:pt>
                <c:pt idx="8">
                  <c:v>March</c:v>
                </c:pt>
                <c:pt idx="9">
                  <c:v>April</c:v>
                </c:pt>
                <c:pt idx="10">
                  <c:v>May</c:v>
                </c:pt>
                <c:pt idx="11">
                  <c:v>June</c:v>
                </c:pt>
              </c:strCache>
            </c:strRef>
          </c:cat>
          <c:val>
            <c:numRef>
              <c:f>Results!$D$43:$D$54</c:f>
              <c:numCache>
                <c:formatCode>General</c:formatCode>
                <c:ptCount val="12"/>
                <c:pt idx="0">
                  <c:v>1931</c:v>
                </c:pt>
                <c:pt idx="1">
                  <c:v>2417</c:v>
                </c:pt>
                <c:pt idx="2">
                  <c:v>3972</c:v>
                </c:pt>
                <c:pt idx="3">
                  <c:v>3566</c:v>
                </c:pt>
                <c:pt idx="4">
                  <c:v>2639</c:v>
                </c:pt>
                <c:pt idx="5">
                  <c:v>1642</c:v>
                </c:pt>
                <c:pt idx="6">
                  <c:v>3171</c:v>
                </c:pt>
                <c:pt idx="7">
                  <c:v>3756</c:v>
                </c:pt>
                <c:pt idx="8">
                  <c:v>1770</c:v>
                </c:pt>
                <c:pt idx="9">
                  <c:v>22</c:v>
                </c:pt>
                <c:pt idx="10">
                  <c:v>23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15F-4F03-81C7-A4944EDD46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12832415"/>
        <c:axId val="658160079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Results!$E$42</c15:sqref>
                        </c15:formulaRef>
                      </c:ext>
                    </c:extLst>
                    <c:strCache>
                      <c:ptCount val="1"/>
                      <c:pt idx="0">
                        <c:v>Grand Total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Results!$B$43:$B$54</c15:sqref>
                        </c15:formulaRef>
                      </c:ext>
                    </c:extLst>
                    <c:strCache>
                      <c:ptCount val="12"/>
                      <c:pt idx="0">
                        <c:v>July</c:v>
                      </c:pt>
                      <c:pt idx="1">
                        <c:v>August</c:v>
                      </c:pt>
                      <c:pt idx="2">
                        <c:v>September</c:v>
                      </c:pt>
                      <c:pt idx="3">
                        <c:v>October</c:v>
                      </c:pt>
                      <c:pt idx="4">
                        <c:v>November</c:v>
                      </c:pt>
                      <c:pt idx="5">
                        <c:v>December</c:v>
                      </c:pt>
                      <c:pt idx="6">
                        <c:v>January</c:v>
                      </c:pt>
                      <c:pt idx="7">
                        <c:v>February</c:v>
                      </c:pt>
                      <c:pt idx="8">
                        <c:v>March</c:v>
                      </c:pt>
                      <c:pt idx="9">
                        <c:v>April</c:v>
                      </c:pt>
                      <c:pt idx="10">
                        <c:v>May</c:v>
                      </c:pt>
                      <c:pt idx="11">
                        <c:v>June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Results!$E$43:$E$54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3887</c:v>
                      </c:pt>
                      <c:pt idx="1">
                        <c:v>5094</c:v>
                      </c:pt>
                      <c:pt idx="2">
                        <c:v>7519</c:v>
                      </c:pt>
                      <c:pt idx="3">
                        <c:v>7278</c:v>
                      </c:pt>
                      <c:pt idx="4">
                        <c:v>5289</c:v>
                      </c:pt>
                      <c:pt idx="5">
                        <c:v>3252</c:v>
                      </c:pt>
                      <c:pt idx="6">
                        <c:v>6199</c:v>
                      </c:pt>
                      <c:pt idx="7">
                        <c:v>7835</c:v>
                      </c:pt>
                      <c:pt idx="8">
                        <c:v>4973</c:v>
                      </c:pt>
                      <c:pt idx="9">
                        <c:v>2959</c:v>
                      </c:pt>
                      <c:pt idx="10">
                        <c:v>2135</c:v>
                      </c:pt>
                      <c:pt idx="11">
                        <c:v>1862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715F-4F03-81C7-A4944EDD467E}"/>
                  </c:ext>
                </c:extLst>
              </c15:ser>
            </c15:filteredLineSeries>
          </c:ext>
        </c:extLst>
      </c:lineChart>
      <c:catAx>
        <c:axId val="7128324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8160079"/>
        <c:crosses val="autoZero"/>
        <c:auto val="1"/>
        <c:lblAlgn val="ctr"/>
        <c:lblOffset val="100"/>
        <c:noMultiLvlLbl val="0"/>
      </c:catAx>
      <c:valAx>
        <c:axId val="6581600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28324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Lending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Results!$B$9</c:f>
              <c:strCache>
                <c:ptCount val="1"/>
                <c:pt idx="0">
                  <c:v>CSU+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Results!$C$8:$G$8</c:f>
              <c:strCache>
                <c:ptCount val="5"/>
                <c:pt idx="0">
                  <c:v>FY 15/16</c:v>
                </c:pt>
                <c:pt idx="1">
                  <c:v>FY 16/17</c:v>
                </c:pt>
                <c:pt idx="2">
                  <c:v>FY 17/18</c:v>
                </c:pt>
                <c:pt idx="3">
                  <c:v>FY 18/19</c:v>
                </c:pt>
                <c:pt idx="4">
                  <c:v>FY 19/20</c:v>
                </c:pt>
              </c:strCache>
            </c:strRef>
          </c:cat>
          <c:val>
            <c:numRef>
              <c:f>Results!$C$9:$G$9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57122</c:v>
                </c:pt>
                <c:pt idx="3">
                  <c:v>66939</c:v>
                </c:pt>
                <c:pt idx="4">
                  <c:v>56355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4B-4BCC-B89D-65246373E712}"/>
            </c:ext>
          </c:extLst>
        </c:ser>
        <c:ser>
          <c:idx val="1"/>
          <c:order val="1"/>
          <c:tx>
            <c:strRef>
              <c:f>Results!$B$10</c:f>
              <c:strCache>
                <c:ptCount val="1"/>
                <c:pt idx="0">
                  <c:v>OCLC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Results!$C$8:$G$8</c:f>
              <c:strCache>
                <c:ptCount val="5"/>
                <c:pt idx="0">
                  <c:v>FY 15/16</c:v>
                </c:pt>
                <c:pt idx="1">
                  <c:v>FY 16/17</c:v>
                </c:pt>
                <c:pt idx="2">
                  <c:v>FY 17/18</c:v>
                </c:pt>
                <c:pt idx="3">
                  <c:v>FY 18/19</c:v>
                </c:pt>
                <c:pt idx="4">
                  <c:v>FY 19/20</c:v>
                </c:pt>
              </c:strCache>
            </c:strRef>
          </c:cat>
          <c:val>
            <c:numRef>
              <c:f>Results!$C$10:$G$10</c:f>
              <c:numCache>
                <c:formatCode>General</c:formatCode>
                <c:ptCount val="5"/>
                <c:pt idx="0">
                  <c:v>45400</c:v>
                </c:pt>
                <c:pt idx="1">
                  <c:v>40988</c:v>
                </c:pt>
                <c:pt idx="2">
                  <c:v>36297</c:v>
                </c:pt>
                <c:pt idx="3">
                  <c:v>34306</c:v>
                </c:pt>
                <c:pt idx="4">
                  <c:v>22670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4B-4BCC-B89D-65246373E712}"/>
            </c:ext>
          </c:extLst>
        </c:ser>
        <c:ser>
          <c:idx val="2"/>
          <c:order val="2"/>
          <c:tx>
            <c:strRef>
              <c:f>Results!$B$11</c:f>
              <c:strCache>
                <c:ptCount val="1"/>
                <c:pt idx="0">
                  <c:v>Grand Total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Results!$C$8:$G$8</c:f>
              <c:strCache>
                <c:ptCount val="5"/>
                <c:pt idx="0">
                  <c:v>FY 15/16</c:v>
                </c:pt>
                <c:pt idx="1">
                  <c:v>FY 16/17</c:v>
                </c:pt>
                <c:pt idx="2">
                  <c:v>FY 17/18</c:v>
                </c:pt>
                <c:pt idx="3">
                  <c:v>FY 18/19</c:v>
                </c:pt>
                <c:pt idx="4">
                  <c:v>FY 19/20</c:v>
                </c:pt>
              </c:strCache>
            </c:strRef>
          </c:cat>
          <c:val>
            <c:numRef>
              <c:f>Results!$C$11:$G$11</c:f>
              <c:numCache>
                <c:formatCode>General</c:formatCode>
                <c:ptCount val="5"/>
                <c:pt idx="0">
                  <c:v>45400</c:v>
                </c:pt>
                <c:pt idx="1">
                  <c:v>40988</c:v>
                </c:pt>
                <c:pt idx="2">
                  <c:v>93419</c:v>
                </c:pt>
                <c:pt idx="3">
                  <c:v>101245</c:v>
                </c:pt>
                <c:pt idx="4">
                  <c:v>79025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4B-4BCC-B89D-65246373E7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8275951"/>
        <c:axId val="716373263"/>
      </c:barChart>
      <c:catAx>
        <c:axId val="498275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6373263"/>
        <c:crosses val="autoZero"/>
        <c:auto val="1"/>
        <c:lblAlgn val="ctr"/>
        <c:lblOffset val="100"/>
        <c:noMultiLvlLbl val="0"/>
      </c:catAx>
      <c:valAx>
        <c:axId val="716373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82759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OCLC Physical Lending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Results!$C$87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Results!$B$88:$B$99</c:f>
              <c:strCache>
                <c:ptCount val="12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  <c:pt idx="3">
                  <c:v>October</c:v>
                </c:pt>
                <c:pt idx="4">
                  <c:v>November</c:v>
                </c:pt>
                <c:pt idx="5">
                  <c:v>December</c:v>
                </c:pt>
                <c:pt idx="6">
                  <c:v>January</c:v>
                </c:pt>
                <c:pt idx="7">
                  <c:v>February</c:v>
                </c:pt>
                <c:pt idx="8">
                  <c:v>March</c:v>
                </c:pt>
                <c:pt idx="9">
                  <c:v>April</c:v>
                </c:pt>
                <c:pt idx="10">
                  <c:v>May</c:v>
                </c:pt>
                <c:pt idx="11">
                  <c:v>June</c:v>
                </c:pt>
              </c:strCache>
            </c:strRef>
          </c:cat>
          <c:val>
            <c:numRef>
              <c:f>Results!$C$88:$C$99</c:f>
              <c:numCache>
                <c:formatCode>General</c:formatCode>
                <c:ptCount val="12"/>
                <c:pt idx="0">
                  <c:v>2267</c:v>
                </c:pt>
                <c:pt idx="1">
                  <c:v>2997</c:v>
                </c:pt>
                <c:pt idx="2">
                  <c:v>3177</c:v>
                </c:pt>
                <c:pt idx="3">
                  <c:v>3805</c:v>
                </c:pt>
                <c:pt idx="4">
                  <c:v>2623</c:v>
                </c:pt>
                <c:pt idx="5">
                  <c:v>1569</c:v>
                </c:pt>
                <c:pt idx="6">
                  <c:v>3643</c:v>
                </c:pt>
                <c:pt idx="7">
                  <c:v>3502</c:v>
                </c:pt>
                <c:pt idx="8">
                  <c:v>3185</c:v>
                </c:pt>
                <c:pt idx="9">
                  <c:v>3036</c:v>
                </c:pt>
                <c:pt idx="10">
                  <c:v>2409</c:v>
                </c:pt>
                <c:pt idx="11">
                  <c:v>2093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F66-4DA6-A6C3-C730A32DE5FD}"/>
            </c:ext>
          </c:extLst>
        </c:ser>
        <c:ser>
          <c:idx val="1"/>
          <c:order val="1"/>
          <c:tx>
            <c:strRef>
              <c:f>Results!$D$87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Results!$B$88:$B$99</c:f>
              <c:strCache>
                <c:ptCount val="12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  <c:pt idx="3">
                  <c:v>October</c:v>
                </c:pt>
                <c:pt idx="4">
                  <c:v>November</c:v>
                </c:pt>
                <c:pt idx="5">
                  <c:v>December</c:v>
                </c:pt>
                <c:pt idx="6">
                  <c:v>January</c:v>
                </c:pt>
                <c:pt idx="7">
                  <c:v>February</c:v>
                </c:pt>
                <c:pt idx="8">
                  <c:v>March</c:v>
                </c:pt>
                <c:pt idx="9">
                  <c:v>April</c:v>
                </c:pt>
                <c:pt idx="10">
                  <c:v>May</c:v>
                </c:pt>
                <c:pt idx="11">
                  <c:v>June</c:v>
                </c:pt>
              </c:strCache>
            </c:strRef>
          </c:cat>
          <c:val>
            <c:numRef>
              <c:f>Results!$D$88:$D$99</c:f>
              <c:numCache>
                <c:formatCode>General</c:formatCode>
                <c:ptCount val="12"/>
                <c:pt idx="0">
                  <c:v>2178</c:v>
                </c:pt>
                <c:pt idx="1">
                  <c:v>2575</c:v>
                </c:pt>
                <c:pt idx="2">
                  <c:v>3211</c:v>
                </c:pt>
                <c:pt idx="3">
                  <c:v>3191</c:v>
                </c:pt>
                <c:pt idx="4">
                  <c:v>2303</c:v>
                </c:pt>
                <c:pt idx="5">
                  <c:v>1530</c:v>
                </c:pt>
                <c:pt idx="6">
                  <c:v>3290</c:v>
                </c:pt>
                <c:pt idx="7">
                  <c:v>2903</c:v>
                </c:pt>
                <c:pt idx="8">
                  <c:v>1482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F66-4DA6-A6C3-C730A32DE5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85369599"/>
        <c:axId val="593248671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Results!$E$87</c15:sqref>
                        </c15:formulaRef>
                      </c:ext>
                    </c:extLst>
                    <c:strCache>
                      <c:ptCount val="1"/>
                      <c:pt idx="0">
                        <c:v>Grand Total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Results!$B$88:$B$99</c15:sqref>
                        </c15:formulaRef>
                      </c:ext>
                    </c:extLst>
                    <c:strCache>
                      <c:ptCount val="12"/>
                      <c:pt idx="0">
                        <c:v>July</c:v>
                      </c:pt>
                      <c:pt idx="1">
                        <c:v>August</c:v>
                      </c:pt>
                      <c:pt idx="2">
                        <c:v>September</c:v>
                      </c:pt>
                      <c:pt idx="3">
                        <c:v>October</c:v>
                      </c:pt>
                      <c:pt idx="4">
                        <c:v>November</c:v>
                      </c:pt>
                      <c:pt idx="5">
                        <c:v>December</c:v>
                      </c:pt>
                      <c:pt idx="6">
                        <c:v>January</c:v>
                      </c:pt>
                      <c:pt idx="7">
                        <c:v>February</c:v>
                      </c:pt>
                      <c:pt idx="8">
                        <c:v>March</c:v>
                      </c:pt>
                      <c:pt idx="9">
                        <c:v>April</c:v>
                      </c:pt>
                      <c:pt idx="10">
                        <c:v>May</c:v>
                      </c:pt>
                      <c:pt idx="11">
                        <c:v>June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Results!$E$88:$E$99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4445</c:v>
                      </c:pt>
                      <c:pt idx="1">
                        <c:v>5572</c:v>
                      </c:pt>
                      <c:pt idx="2">
                        <c:v>6388</c:v>
                      </c:pt>
                      <c:pt idx="3">
                        <c:v>6996</c:v>
                      </c:pt>
                      <c:pt idx="4">
                        <c:v>4926</c:v>
                      </c:pt>
                      <c:pt idx="5">
                        <c:v>3099</c:v>
                      </c:pt>
                      <c:pt idx="6">
                        <c:v>6933</c:v>
                      </c:pt>
                      <c:pt idx="7">
                        <c:v>6405</c:v>
                      </c:pt>
                      <c:pt idx="8">
                        <c:v>4667</c:v>
                      </c:pt>
                      <c:pt idx="9">
                        <c:v>3039</c:v>
                      </c:pt>
                      <c:pt idx="10">
                        <c:v>2411</c:v>
                      </c:pt>
                      <c:pt idx="11">
                        <c:v>2095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4F66-4DA6-A6C3-C730A32DE5FD}"/>
                  </c:ext>
                </c:extLst>
              </c15:ser>
            </c15:filteredLineSeries>
          </c:ext>
        </c:extLst>
      </c:lineChart>
      <c:catAx>
        <c:axId val="5853695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3248671"/>
        <c:crosses val="autoZero"/>
        <c:auto val="1"/>
        <c:lblAlgn val="ctr"/>
        <c:lblOffset val="100"/>
        <c:noMultiLvlLbl val="0"/>
      </c:catAx>
      <c:valAx>
        <c:axId val="593248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53695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CSU+ Physical Lending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Results!$C$72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Results!$B$73:$B$84</c:f>
              <c:strCache>
                <c:ptCount val="12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  <c:pt idx="3">
                  <c:v>October</c:v>
                </c:pt>
                <c:pt idx="4">
                  <c:v>November</c:v>
                </c:pt>
                <c:pt idx="5">
                  <c:v>December</c:v>
                </c:pt>
                <c:pt idx="6">
                  <c:v>January</c:v>
                </c:pt>
                <c:pt idx="7">
                  <c:v>February</c:v>
                </c:pt>
                <c:pt idx="8">
                  <c:v>March</c:v>
                </c:pt>
                <c:pt idx="9">
                  <c:v>April</c:v>
                </c:pt>
                <c:pt idx="10">
                  <c:v>May</c:v>
                </c:pt>
                <c:pt idx="11">
                  <c:v>June</c:v>
                </c:pt>
              </c:strCache>
            </c:strRef>
          </c:cat>
          <c:val>
            <c:numRef>
              <c:f>Results!$C$73:$C$84</c:f>
              <c:numCache>
                <c:formatCode>General</c:formatCode>
                <c:ptCount val="12"/>
                <c:pt idx="0">
                  <c:v>2588</c:v>
                </c:pt>
                <c:pt idx="1">
                  <c:v>5958</c:v>
                </c:pt>
                <c:pt idx="2">
                  <c:v>6774</c:v>
                </c:pt>
                <c:pt idx="3">
                  <c:v>7194</c:v>
                </c:pt>
                <c:pt idx="4">
                  <c:v>5215</c:v>
                </c:pt>
                <c:pt idx="5">
                  <c:v>2800</c:v>
                </c:pt>
                <c:pt idx="6">
                  <c:v>8312</c:v>
                </c:pt>
                <c:pt idx="7">
                  <c:v>7277</c:v>
                </c:pt>
                <c:pt idx="8">
                  <c:v>7002</c:v>
                </c:pt>
                <c:pt idx="9">
                  <c:v>6624</c:v>
                </c:pt>
                <c:pt idx="10">
                  <c:v>4047</c:v>
                </c:pt>
                <c:pt idx="11">
                  <c:v>3148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1CD-427F-A771-1F260A13809D}"/>
            </c:ext>
          </c:extLst>
        </c:ser>
        <c:ser>
          <c:idx val="1"/>
          <c:order val="1"/>
          <c:tx>
            <c:strRef>
              <c:f>Results!$D$72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Results!$B$73:$B$84</c:f>
              <c:strCache>
                <c:ptCount val="12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  <c:pt idx="3">
                  <c:v>October</c:v>
                </c:pt>
                <c:pt idx="4">
                  <c:v>November</c:v>
                </c:pt>
                <c:pt idx="5">
                  <c:v>December</c:v>
                </c:pt>
                <c:pt idx="6">
                  <c:v>January</c:v>
                </c:pt>
                <c:pt idx="7">
                  <c:v>February</c:v>
                </c:pt>
                <c:pt idx="8">
                  <c:v>March</c:v>
                </c:pt>
                <c:pt idx="9">
                  <c:v>April</c:v>
                </c:pt>
                <c:pt idx="10">
                  <c:v>May</c:v>
                </c:pt>
                <c:pt idx="11">
                  <c:v>June</c:v>
                </c:pt>
              </c:strCache>
            </c:strRef>
          </c:cat>
          <c:val>
            <c:numRef>
              <c:f>Results!$D$73:$D$84</c:f>
              <c:numCache>
                <c:formatCode>General</c:formatCode>
                <c:ptCount val="12"/>
                <c:pt idx="0">
                  <c:v>3099</c:v>
                </c:pt>
                <c:pt idx="1">
                  <c:v>7093</c:v>
                </c:pt>
                <c:pt idx="2">
                  <c:v>8467</c:v>
                </c:pt>
                <c:pt idx="3">
                  <c:v>8142</c:v>
                </c:pt>
                <c:pt idx="4">
                  <c:v>6292</c:v>
                </c:pt>
                <c:pt idx="5">
                  <c:v>3140</c:v>
                </c:pt>
                <c:pt idx="6">
                  <c:v>8464</c:v>
                </c:pt>
                <c:pt idx="7">
                  <c:v>8398</c:v>
                </c:pt>
                <c:pt idx="8">
                  <c:v>3260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1CD-427F-A771-1F260A1380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14171311"/>
        <c:axId val="451727647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Results!$E$72</c15:sqref>
                        </c15:formulaRef>
                      </c:ext>
                    </c:extLst>
                    <c:strCache>
                      <c:ptCount val="1"/>
                      <c:pt idx="0">
                        <c:v>Grand Total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Results!$B$73:$B$84</c15:sqref>
                        </c15:formulaRef>
                      </c:ext>
                    </c:extLst>
                    <c:strCache>
                      <c:ptCount val="12"/>
                      <c:pt idx="0">
                        <c:v>July</c:v>
                      </c:pt>
                      <c:pt idx="1">
                        <c:v>August</c:v>
                      </c:pt>
                      <c:pt idx="2">
                        <c:v>September</c:v>
                      </c:pt>
                      <c:pt idx="3">
                        <c:v>October</c:v>
                      </c:pt>
                      <c:pt idx="4">
                        <c:v>November</c:v>
                      </c:pt>
                      <c:pt idx="5">
                        <c:v>December</c:v>
                      </c:pt>
                      <c:pt idx="6">
                        <c:v>January</c:v>
                      </c:pt>
                      <c:pt idx="7">
                        <c:v>February</c:v>
                      </c:pt>
                      <c:pt idx="8">
                        <c:v>March</c:v>
                      </c:pt>
                      <c:pt idx="9">
                        <c:v>April</c:v>
                      </c:pt>
                      <c:pt idx="10">
                        <c:v>May</c:v>
                      </c:pt>
                      <c:pt idx="11">
                        <c:v>June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Results!$E$73:$E$84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5687</c:v>
                      </c:pt>
                      <c:pt idx="1">
                        <c:v>13051</c:v>
                      </c:pt>
                      <c:pt idx="2">
                        <c:v>15241</c:v>
                      </c:pt>
                      <c:pt idx="3">
                        <c:v>15336</c:v>
                      </c:pt>
                      <c:pt idx="4">
                        <c:v>11507</c:v>
                      </c:pt>
                      <c:pt idx="5">
                        <c:v>5940</c:v>
                      </c:pt>
                      <c:pt idx="6">
                        <c:v>16776</c:v>
                      </c:pt>
                      <c:pt idx="7">
                        <c:v>15675</c:v>
                      </c:pt>
                      <c:pt idx="8">
                        <c:v>10262</c:v>
                      </c:pt>
                      <c:pt idx="9">
                        <c:v>6624</c:v>
                      </c:pt>
                      <c:pt idx="10">
                        <c:v>4047</c:v>
                      </c:pt>
                      <c:pt idx="11">
                        <c:v>3148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51CD-427F-A771-1F260A13809D}"/>
                  </c:ext>
                </c:extLst>
              </c15:ser>
            </c15:filteredLineSeries>
          </c:ext>
        </c:extLst>
      </c:lineChart>
      <c:catAx>
        <c:axId val="7141713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1727647"/>
        <c:crosses val="autoZero"/>
        <c:auto val="1"/>
        <c:lblAlgn val="ctr"/>
        <c:lblOffset val="100"/>
        <c:noMultiLvlLbl val="0"/>
      </c:catAx>
      <c:valAx>
        <c:axId val="4517276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41713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Articles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Results!$B$15</c:f>
              <c:strCache>
                <c:ptCount val="1"/>
                <c:pt idx="0">
                  <c:v>Borrowing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Results!$C$14:$G$14</c:f>
              <c:strCache>
                <c:ptCount val="5"/>
                <c:pt idx="0">
                  <c:v>FY 15/16</c:v>
                </c:pt>
                <c:pt idx="1">
                  <c:v>FY 16/17</c:v>
                </c:pt>
                <c:pt idx="2">
                  <c:v>FY 17/18</c:v>
                </c:pt>
                <c:pt idx="3">
                  <c:v>FY 18/19</c:v>
                </c:pt>
                <c:pt idx="4">
                  <c:v>FY 19/20</c:v>
                </c:pt>
              </c:strCache>
            </c:strRef>
          </c:cat>
          <c:val>
            <c:numRef>
              <c:f>Results!$C$15:$G$15</c:f>
              <c:numCache>
                <c:formatCode>General</c:formatCode>
                <c:ptCount val="5"/>
                <c:pt idx="0">
                  <c:v>34329</c:v>
                </c:pt>
                <c:pt idx="1">
                  <c:v>33896</c:v>
                </c:pt>
                <c:pt idx="2">
                  <c:v>24288</c:v>
                </c:pt>
                <c:pt idx="3">
                  <c:v>22178</c:v>
                </c:pt>
                <c:pt idx="4">
                  <c:v>20399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28-4720-98A7-B70FC5BBBAD2}"/>
            </c:ext>
          </c:extLst>
        </c:ser>
        <c:ser>
          <c:idx val="1"/>
          <c:order val="1"/>
          <c:tx>
            <c:strRef>
              <c:f>Results!$B$16</c:f>
              <c:strCache>
                <c:ptCount val="1"/>
                <c:pt idx="0">
                  <c:v>Lending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Results!$C$14:$G$14</c:f>
              <c:strCache>
                <c:ptCount val="5"/>
                <c:pt idx="0">
                  <c:v>FY 15/16</c:v>
                </c:pt>
                <c:pt idx="1">
                  <c:v>FY 16/17</c:v>
                </c:pt>
                <c:pt idx="2">
                  <c:v>FY 17/18</c:v>
                </c:pt>
                <c:pt idx="3">
                  <c:v>FY 18/19</c:v>
                </c:pt>
                <c:pt idx="4">
                  <c:v>FY 19/20</c:v>
                </c:pt>
              </c:strCache>
            </c:strRef>
          </c:cat>
          <c:val>
            <c:numRef>
              <c:f>Results!$C$16:$G$16</c:f>
              <c:numCache>
                <c:formatCode>General</c:formatCode>
                <c:ptCount val="5"/>
                <c:pt idx="0">
                  <c:v>39151</c:v>
                </c:pt>
                <c:pt idx="1">
                  <c:v>36434</c:v>
                </c:pt>
                <c:pt idx="2">
                  <c:v>29144</c:v>
                </c:pt>
                <c:pt idx="3">
                  <c:v>27044</c:v>
                </c:pt>
                <c:pt idx="4">
                  <c:v>23718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28-4720-98A7-B70FC5BBBA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5342799"/>
        <c:axId val="297453839"/>
      </c:barChart>
      <c:catAx>
        <c:axId val="5853427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7453839"/>
        <c:crosses val="autoZero"/>
        <c:auto val="1"/>
        <c:lblAlgn val="ctr"/>
        <c:lblOffset val="100"/>
        <c:noMultiLvlLbl val="0"/>
      </c:catAx>
      <c:valAx>
        <c:axId val="297453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53427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OCLC Lending Articles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Results!$C$118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Results!$B$119:$B$130</c:f>
              <c:strCache>
                <c:ptCount val="12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  <c:pt idx="3">
                  <c:v>October</c:v>
                </c:pt>
                <c:pt idx="4">
                  <c:v>November</c:v>
                </c:pt>
                <c:pt idx="5">
                  <c:v>December</c:v>
                </c:pt>
                <c:pt idx="6">
                  <c:v>January</c:v>
                </c:pt>
                <c:pt idx="7">
                  <c:v>February</c:v>
                </c:pt>
                <c:pt idx="8">
                  <c:v>March</c:v>
                </c:pt>
                <c:pt idx="9">
                  <c:v>April</c:v>
                </c:pt>
                <c:pt idx="10">
                  <c:v>May</c:v>
                </c:pt>
                <c:pt idx="11">
                  <c:v>June</c:v>
                </c:pt>
              </c:strCache>
            </c:strRef>
          </c:cat>
          <c:val>
            <c:numRef>
              <c:f>Results!$C$119:$C$130</c:f>
              <c:numCache>
                <c:formatCode>General</c:formatCode>
                <c:ptCount val="12"/>
                <c:pt idx="0">
                  <c:v>1820</c:v>
                </c:pt>
                <c:pt idx="1">
                  <c:v>1697</c:v>
                </c:pt>
                <c:pt idx="2">
                  <c:v>2353</c:v>
                </c:pt>
                <c:pt idx="3">
                  <c:v>3329</c:v>
                </c:pt>
                <c:pt idx="4">
                  <c:v>2540</c:v>
                </c:pt>
                <c:pt idx="5">
                  <c:v>1349</c:v>
                </c:pt>
                <c:pt idx="6">
                  <c:v>2101</c:v>
                </c:pt>
                <c:pt idx="7">
                  <c:v>2849</c:v>
                </c:pt>
                <c:pt idx="8">
                  <c:v>2882</c:v>
                </c:pt>
                <c:pt idx="9">
                  <c:v>2674</c:v>
                </c:pt>
                <c:pt idx="10">
                  <c:v>1882</c:v>
                </c:pt>
                <c:pt idx="11">
                  <c:v>1568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1E8-48D9-92E6-277A99B703C7}"/>
            </c:ext>
          </c:extLst>
        </c:ser>
        <c:ser>
          <c:idx val="1"/>
          <c:order val="1"/>
          <c:tx>
            <c:strRef>
              <c:f>Results!$D$118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Results!$B$119:$B$130</c:f>
              <c:strCache>
                <c:ptCount val="12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  <c:pt idx="3">
                  <c:v>October</c:v>
                </c:pt>
                <c:pt idx="4">
                  <c:v>November</c:v>
                </c:pt>
                <c:pt idx="5">
                  <c:v>December</c:v>
                </c:pt>
                <c:pt idx="6">
                  <c:v>January</c:v>
                </c:pt>
                <c:pt idx="7">
                  <c:v>February</c:v>
                </c:pt>
                <c:pt idx="8">
                  <c:v>March</c:v>
                </c:pt>
                <c:pt idx="9">
                  <c:v>April</c:v>
                </c:pt>
                <c:pt idx="10">
                  <c:v>May</c:v>
                </c:pt>
                <c:pt idx="11">
                  <c:v>June</c:v>
                </c:pt>
              </c:strCache>
            </c:strRef>
          </c:cat>
          <c:val>
            <c:numRef>
              <c:f>Results!$D$119:$D$130</c:f>
              <c:numCache>
                <c:formatCode>General</c:formatCode>
                <c:ptCount val="12"/>
                <c:pt idx="0">
                  <c:v>1648</c:v>
                </c:pt>
                <c:pt idx="1">
                  <c:v>1573</c:v>
                </c:pt>
                <c:pt idx="2">
                  <c:v>2602</c:v>
                </c:pt>
                <c:pt idx="3">
                  <c:v>3211</c:v>
                </c:pt>
                <c:pt idx="4">
                  <c:v>2540</c:v>
                </c:pt>
                <c:pt idx="5">
                  <c:v>1491</c:v>
                </c:pt>
                <c:pt idx="6">
                  <c:v>1995</c:v>
                </c:pt>
                <c:pt idx="7">
                  <c:v>2828</c:v>
                </c:pt>
                <c:pt idx="8">
                  <c:v>2131</c:v>
                </c:pt>
                <c:pt idx="9">
                  <c:v>1543</c:v>
                </c:pt>
                <c:pt idx="10">
                  <c:v>1086</c:v>
                </c:pt>
                <c:pt idx="11">
                  <c:v>1070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1E8-48D9-92E6-277A99B703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8770351"/>
        <c:axId val="658161327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Results!$E$118</c15:sqref>
                        </c15:formulaRef>
                      </c:ext>
                    </c:extLst>
                    <c:strCache>
                      <c:ptCount val="1"/>
                      <c:pt idx="0">
                        <c:v>Grand Total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Results!$B$119:$B$130</c15:sqref>
                        </c15:formulaRef>
                      </c:ext>
                    </c:extLst>
                    <c:strCache>
                      <c:ptCount val="12"/>
                      <c:pt idx="0">
                        <c:v>July</c:v>
                      </c:pt>
                      <c:pt idx="1">
                        <c:v>August</c:v>
                      </c:pt>
                      <c:pt idx="2">
                        <c:v>September</c:v>
                      </c:pt>
                      <c:pt idx="3">
                        <c:v>October</c:v>
                      </c:pt>
                      <c:pt idx="4">
                        <c:v>November</c:v>
                      </c:pt>
                      <c:pt idx="5">
                        <c:v>December</c:v>
                      </c:pt>
                      <c:pt idx="6">
                        <c:v>January</c:v>
                      </c:pt>
                      <c:pt idx="7">
                        <c:v>February</c:v>
                      </c:pt>
                      <c:pt idx="8">
                        <c:v>March</c:v>
                      </c:pt>
                      <c:pt idx="9">
                        <c:v>April</c:v>
                      </c:pt>
                      <c:pt idx="10">
                        <c:v>May</c:v>
                      </c:pt>
                      <c:pt idx="11">
                        <c:v>June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Results!$E$119:$E$130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3468</c:v>
                      </c:pt>
                      <c:pt idx="1">
                        <c:v>3270</c:v>
                      </c:pt>
                      <c:pt idx="2">
                        <c:v>4955</c:v>
                      </c:pt>
                      <c:pt idx="3">
                        <c:v>6540</c:v>
                      </c:pt>
                      <c:pt idx="4">
                        <c:v>5080</c:v>
                      </c:pt>
                      <c:pt idx="5">
                        <c:v>2840</c:v>
                      </c:pt>
                      <c:pt idx="6">
                        <c:v>4096</c:v>
                      </c:pt>
                      <c:pt idx="7">
                        <c:v>5677</c:v>
                      </c:pt>
                      <c:pt idx="8">
                        <c:v>5013</c:v>
                      </c:pt>
                      <c:pt idx="9">
                        <c:v>4217</c:v>
                      </c:pt>
                      <c:pt idx="10">
                        <c:v>2968</c:v>
                      </c:pt>
                      <c:pt idx="11">
                        <c:v>2638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41E8-48D9-92E6-277A99B703C7}"/>
                  </c:ext>
                </c:extLst>
              </c15:ser>
            </c15:filteredLineSeries>
          </c:ext>
        </c:extLst>
      </c:lineChart>
      <c:catAx>
        <c:axId val="4987703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8161327"/>
        <c:crosses val="autoZero"/>
        <c:auto val="1"/>
        <c:lblAlgn val="ctr"/>
        <c:lblOffset val="100"/>
        <c:noMultiLvlLbl val="0"/>
      </c:catAx>
      <c:valAx>
        <c:axId val="6581613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87703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OCLC Borrowing Articles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Results!$C$103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Results!$B$104:$B$115</c:f>
              <c:strCache>
                <c:ptCount val="12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  <c:pt idx="3">
                  <c:v>October</c:v>
                </c:pt>
                <c:pt idx="4">
                  <c:v>November</c:v>
                </c:pt>
                <c:pt idx="5">
                  <c:v>December</c:v>
                </c:pt>
                <c:pt idx="6">
                  <c:v>January</c:v>
                </c:pt>
                <c:pt idx="7">
                  <c:v>February</c:v>
                </c:pt>
                <c:pt idx="8">
                  <c:v>March</c:v>
                </c:pt>
                <c:pt idx="9">
                  <c:v>April</c:v>
                </c:pt>
                <c:pt idx="10">
                  <c:v>May</c:v>
                </c:pt>
                <c:pt idx="11">
                  <c:v>June</c:v>
                </c:pt>
              </c:strCache>
            </c:strRef>
          </c:cat>
          <c:val>
            <c:numRef>
              <c:f>Results!$C$104:$C$115</c:f>
              <c:numCache>
                <c:formatCode>General</c:formatCode>
                <c:ptCount val="12"/>
                <c:pt idx="0">
                  <c:v>1316</c:v>
                </c:pt>
                <c:pt idx="1">
                  <c:v>1435</c:v>
                </c:pt>
                <c:pt idx="2">
                  <c:v>1801</c:v>
                </c:pt>
                <c:pt idx="3">
                  <c:v>2698</c:v>
                </c:pt>
                <c:pt idx="4">
                  <c:v>2288</c:v>
                </c:pt>
                <c:pt idx="5">
                  <c:v>1120</c:v>
                </c:pt>
                <c:pt idx="6">
                  <c:v>1567</c:v>
                </c:pt>
                <c:pt idx="7">
                  <c:v>2408</c:v>
                </c:pt>
                <c:pt idx="8">
                  <c:v>2521</c:v>
                </c:pt>
                <c:pt idx="9">
                  <c:v>2251</c:v>
                </c:pt>
                <c:pt idx="10">
                  <c:v>1524</c:v>
                </c:pt>
                <c:pt idx="11">
                  <c:v>1249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65-4930-8A98-250FF2513B68}"/>
            </c:ext>
          </c:extLst>
        </c:ser>
        <c:ser>
          <c:idx val="1"/>
          <c:order val="1"/>
          <c:tx>
            <c:strRef>
              <c:f>Results!$D$103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Results!$B$104:$B$115</c:f>
              <c:strCache>
                <c:ptCount val="12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  <c:pt idx="3">
                  <c:v>October</c:v>
                </c:pt>
                <c:pt idx="4">
                  <c:v>November</c:v>
                </c:pt>
                <c:pt idx="5">
                  <c:v>December</c:v>
                </c:pt>
                <c:pt idx="6">
                  <c:v>January</c:v>
                </c:pt>
                <c:pt idx="7">
                  <c:v>February</c:v>
                </c:pt>
                <c:pt idx="8">
                  <c:v>March</c:v>
                </c:pt>
                <c:pt idx="9">
                  <c:v>April</c:v>
                </c:pt>
                <c:pt idx="10">
                  <c:v>May</c:v>
                </c:pt>
                <c:pt idx="11">
                  <c:v>June</c:v>
                </c:pt>
              </c:strCache>
            </c:strRef>
          </c:cat>
          <c:val>
            <c:numRef>
              <c:f>Results!$D$104:$D$115</c:f>
              <c:numCache>
                <c:formatCode>General</c:formatCode>
                <c:ptCount val="12"/>
                <c:pt idx="0">
                  <c:v>1274</c:v>
                </c:pt>
                <c:pt idx="1">
                  <c:v>1135</c:v>
                </c:pt>
                <c:pt idx="2">
                  <c:v>1992</c:v>
                </c:pt>
                <c:pt idx="3">
                  <c:v>2698</c:v>
                </c:pt>
                <c:pt idx="4">
                  <c:v>2138</c:v>
                </c:pt>
                <c:pt idx="5">
                  <c:v>1263</c:v>
                </c:pt>
                <c:pt idx="6">
                  <c:v>1318</c:v>
                </c:pt>
                <c:pt idx="7">
                  <c:v>2330</c:v>
                </c:pt>
                <c:pt idx="8">
                  <c:v>1964</c:v>
                </c:pt>
                <c:pt idx="9">
                  <c:v>1698</c:v>
                </c:pt>
                <c:pt idx="10">
                  <c:v>1238</c:v>
                </c:pt>
                <c:pt idx="11">
                  <c:v>1351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E65-4930-8A98-250FF2513B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8727951"/>
        <c:axId val="462784255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Results!$E$103</c15:sqref>
                        </c15:formulaRef>
                      </c:ext>
                    </c:extLst>
                    <c:strCache>
                      <c:ptCount val="1"/>
                      <c:pt idx="0">
                        <c:v>Grand Total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Results!$B$104:$B$115</c15:sqref>
                        </c15:formulaRef>
                      </c:ext>
                    </c:extLst>
                    <c:strCache>
                      <c:ptCount val="12"/>
                      <c:pt idx="0">
                        <c:v>July</c:v>
                      </c:pt>
                      <c:pt idx="1">
                        <c:v>August</c:v>
                      </c:pt>
                      <c:pt idx="2">
                        <c:v>September</c:v>
                      </c:pt>
                      <c:pt idx="3">
                        <c:v>October</c:v>
                      </c:pt>
                      <c:pt idx="4">
                        <c:v>November</c:v>
                      </c:pt>
                      <c:pt idx="5">
                        <c:v>December</c:v>
                      </c:pt>
                      <c:pt idx="6">
                        <c:v>January</c:v>
                      </c:pt>
                      <c:pt idx="7">
                        <c:v>February</c:v>
                      </c:pt>
                      <c:pt idx="8">
                        <c:v>March</c:v>
                      </c:pt>
                      <c:pt idx="9">
                        <c:v>April</c:v>
                      </c:pt>
                      <c:pt idx="10">
                        <c:v>May</c:v>
                      </c:pt>
                      <c:pt idx="11">
                        <c:v>June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Results!$E$104:$E$115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2590</c:v>
                      </c:pt>
                      <c:pt idx="1">
                        <c:v>2570</c:v>
                      </c:pt>
                      <c:pt idx="2">
                        <c:v>3793</c:v>
                      </c:pt>
                      <c:pt idx="3">
                        <c:v>5396</c:v>
                      </c:pt>
                      <c:pt idx="4">
                        <c:v>4426</c:v>
                      </c:pt>
                      <c:pt idx="5">
                        <c:v>2383</c:v>
                      </c:pt>
                      <c:pt idx="6">
                        <c:v>2885</c:v>
                      </c:pt>
                      <c:pt idx="7">
                        <c:v>4738</c:v>
                      </c:pt>
                      <c:pt idx="8">
                        <c:v>4485</c:v>
                      </c:pt>
                      <c:pt idx="9">
                        <c:v>3949</c:v>
                      </c:pt>
                      <c:pt idx="10">
                        <c:v>2762</c:v>
                      </c:pt>
                      <c:pt idx="11">
                        <c:v>2600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DE65-4930-8A98-250FF2513B68}"/>
                  </c:ext>
                </c:extLst>
              </c15:ser>
            </c15:filteredLineSeries>
          </c:ext>
        </c:extLst>
      </c:lineChart>
      <c:catAx>
        <c:axId val="498727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2784255"/>
        <c:crosses val="autoZero"/>
        <c:auto val="1"/>
        <c:lblAlgn val="ctr"/>
        <c:lblOffset val="100"/>
        <c:noMultiLvlLbl val="0"/>
      </c:catAx>
      <c:valAx>
        <c:axId val="462784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87279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39CA1F242EE4786C739C89B7C55A0" ma:contentTypeVersion="10" ma:contentTypeDescription="Create a new document." ma:contentTypeScope="" ma:versionID="70a318d0e91abce884f3bbf7e2224a1a">
  <xsd:schema xmlns:xsd="http://www.w3.org/2001/XMLSchema" xmlns:xs="http://www.w3.org/2001/XMLSchema" xmlns:p="http://schemas.microsoft.com/office/2006/metadata/properties" xmlns:ns3="9f25a22e-7b61-46b7-b523-f56778cc90f5" targetNamespace="http://schemas.microsoft.com/office/2006/metadata/properties" ma:root="true" ma:fieldsID="fe5e69115ad5a278b900dfb39c1ab5ca" ns3:_="">
    <xsd:import namespace="9f25a22e-7b61-46b7-b523-f56778cc90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a22e-7b61-46b7-b523-f56778cc9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F16F3-20A8-44BB-B73F-541BA98FA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5a22e-7b61-46b7-b523-f56778cc9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7FDF4-650D-4D66-802C-01793A77B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B5AE2-971C-400B-8214-C1D3FB80C6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Office of the Chancellor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Chris</dc:creator>
  <cp:keywords/>
  <dc:description/>
  <cp:lastModifiedBy>Lee, Chris</cp:lastModifiedBy>
  <cp:revision>183</cp:revision>
  <dcterms:created xsi:type="dcterms:W3CDTF">2020-11-16T18:59:00Z</dcterms:created>
  <dcterms:modified xsi:type="dcterms:W3CDTF">2020-11-18T17:25:00Z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0x0101001B339CA1F242EE4786C739C89B7C55A0</vt:lpwstr>
  </property>
</Properties>
</file>