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0A458" w14:textId="3F6F9F0E" w:rsidR="0004424E" w:rsidRPr="00432916" w:rsidRDefault="0004424E" w:rsidP="0004424E">
      <w:pPr>
        <w:spacing w:after="0" w:line="240" w:lineRule="auto"/>
        <w:rPr>
          <w:b/>
          <w:bCs/>
          <w:sz w:val="24"/>
          <w:szCs w:val="24"/>
        </w:rPr>
      </w:pPr>
      <w:r w:rsidRPr="00432916">
        <w:rPr>
          <w:b/>
          <w:bCs/>
          <w:sz w:val="24"/>
          <w:szCs w:val="24"/>
        </w:rPr>
        <w:t xml:space="preserve">Equity, Diversity, and Inclusion (EDI) training for CSU Library personnel: </w:t>
      </w:r>
      <w:r w:rsidR="00DD4B8F" w:rsidRPr="00432916">
        <w:rPr>
          <w:b/>
          <w:bCs/>
          <w:sz w:val="24"/>
          <w:szCs w:val="24"/>
        </w:rPr>
        <w:t>Information Sheet</w:t>
      </w:r>
    </w:p>
    <w:p w14:paraId="297C6B87" w14:textId="7E1ABC41" w:rsidR="0004424E" w:rsidRPr="00432916" w:rsidRDefault="0004424E" w:rsidP="0004424E">
      <w:pPr>
        <w:spacing w:after="0" w:line="240" w:lineRule="auto"/>
        <w:rPr>
          <w:b/>
          <w:bCs/>
          <w:sz w:val="24"/>
          <w:szCs w:val="24"/>
        </w:rPr>
      </w:pPr>
      <w:r w:rsidRPr="00432916">
        <w:rPr>
          <w:b/>
          <w:bCs/>
          <w:sz w:val="24"/>
          <w:szCs w:val="24"/>
        </w:rPr>
        <w:t>March 19, 2021.</w:t>
      </w:r>
    </w:p>
    <w:p w14:paraId="62B4FB6D" w14:textId="729B93DB" w:rsidR="0004424E" w:rsidRPr="00432916" w:rsidRDefault="0004424E" w:rsidP="0004424E">
      <w:pPr>
        <w:spacing w:after="0" w:line="240" w:lineRule="auto"/>
        <w:rPr>
          <w:sz w:val="24"/>
          <w:szCs w:val="24"/>
        </w:rPr>
      </w:pPr>
      <w:r w:rsidRPr="00432916">
        <w:rPr>
          <w:b/>
          <w:bCs/>
          <w:sz w:val="24"/>
          <w:szCs w:val="24"/>
        </w:rPr>
        <w:t>EDI Training Planning Group:</w:t>
      </w:r>
      <w:r w:rsidRPr="00432916">
        <w:rPr>
          <w:sz w:val="24"/>
          <w:szCs w:val="24"/>
        </w:rPr>
        <w:t xml:space="preserve">  Stephanie Brasley (Convenor), Adriana Popescu, Del Hornbuckle, Ron Rodriguez, Cesar Caballero</w:t>
      </w:r>
    </w:p>
    <w:p w14:paraId="55841B63" w14:textId="51E8FA09" w:rsidR="0004424E" w:rsidRPr="00432916" w:rsidRDefault="0004424E" w:rsidP="0004424E">
      <w:pPr>
        <w:spacing w:after="0" w:line="240" w:lineRule="auto"/>
        <w:rPr>
          <w:sz w:val="24"/>
          <w:szCs w:val="24"/>
        </w:rPr>
      </w:pPr>
    </w:p>
    <w:p w14:paraId="71CCFB37" w14:textId="3BFC1489" w:rsidR="0004424E" w:rsidRPr="00432916" w:rsidRDefault="0004424E" w:rsidP="0004424E">
      <w:pPr>
        <w:pStyle w:val="ListParagraph"/>
        <w:numPr>
          <w:ilvl w:val="0"/>
          <w:numId w:val="1"/>
        </w:numPr>
        <w:spacing w:after="0" w:line="240" w:lineRule="auto"/>
        <w:rPr>
          <w:b/>
          <w:bCs/>
          <w:sz w:val="24"/>
          <w:szCs w:val="24"/>
        </w:rPr>
      </w:pPr>
      <w:r w:rsidRPr="00432916">
        <w:rPr>
          <w:b/>
          <w:bCs/>
          <w:sz w:val="24"/>
          <w:szCs w:val="24"/>
        </w:rPr>
        <w:t xml:space="preserve">Training Leaders:  </w:t>
      </w:r>
      <w:r w:rsidRPr="00432916">
        <w:rPr>
          <w:sz w:val="24"/>
          <w:szCs w:val="24"/>
        </w:rPr>
        <w:t>Dr. Nicole Cooke, Ms. Stacy Collins (Simmons College</w:t>
      </w:r>
      <w:r w:rsidR="00023BB0">
        <w:rPr>
          <w:sz w:val="24"/>
          <w:szCs w:val="24"/>
        </w:rPr>
        <w:t>, academic librarian</w:t>
      </w:r>
      <w:r w:rsidRPr="00432916">
        <w:rPr>
          <w:sz w:val="24"/>
          <w:szCs w:val="24"/>
        </w:rPr>
        <w:t>)</w:t>
      </w:r>
    </w:p>
    <w:p w14:paraId="653ACFB5" w14:textId="2DB8AB87" w:rsidR="0004424E" w:rsidRDefault="0004424E" w:rsidP="0004424E">
      <w:pPr>
        <w:pStyle w:val="ListParagraph"/>
        <w:numPr>
          <w:ilvl w:val="0"/>
          <w:numId w:val="1"/>
        </w:numPr>
        <w:spacing w:after="0" w:line="240" w:lineRule="auto"/>
        <w:rPr>
          <w:sz w:val="24"/>
          <w:szCs w:val="24"/>
        </w:rPr>
      </w:pPr>
      <w:r w:rsidRPr="00432916">
        <w:rPr>
          <w:b/>
          <w:bCs/>
          <w:sz w:val="24"/>
          <w:szCs w:val="24"/>
        </w:rPr>
        <w:t>Format.</w:t>
      </w:r>
      <w:r w:rsidRPr="00432916">
        <w:rPr>
          <w:sz w:val="24"/>
          <w:szCs w:val="24"/>
        </w:rPr>
        <w:t xml:space="preserve">  6 weeks.  Three </w:t>
      </w:r>
      <w:r w:rsidR="00432916">
        <w:rPr>
          <w:sz w:val="24"/>
          <w:szCs w:val="24"/>
        </w:rPr>
        <w:t xml:space="preserve">(3) </w:t>
      </w:r>
      <w:r w:rsidRPr="00432916">
        <w:rPr>
          <w:sz w:val="24"/>
          <w:szCs w:val="24"/>
        </w:rPr>
        <w:t xml:space="preserve">synchronous </w:t>
      </w:r>
      <w:r w:rsidR="00432916">
        <w:rPr>
          <w:sz w:val="24"/>
          <w:szCs w:val="24"/>
        </w:rPr>
        <w:t xml:space="preserve">sessions conducted by the training leaders. Three (3) asynchronous interactions with campus facilitators </w:t>
      </w:r>
      <w:r w:rsidR="00023BB0">
        <w:rPr>
          <w:sz w:val="24"/>
          <w:szCs w:val="24"/>
        </w:rPr>
        <w:t>–</w:t>
      </w:r>
      <w:r w:rsidR="00432916">
        <w:rPr>
          <w:sz w:val="24"/>
          <w:szCs w:val="24"/>
        </w:rPr>
        <w:t xml:space="preserve"> </w:t>
      </w:r>
      <w:r w:rsidR="00023BB0">
        <w:rPr>
          <w:sz w:val="24"/>
          <w:szCs w:val="24"/>
        </w:rPr>
        <w:t>activities provided by the Training leaders as well as performing check-ins.</w:t>
      </w:r>
    </w:p>
    <w:p w14:paraId="20991743" w14:textId="70767BBB" w:rsidR="00606B3F" w:rsidRDefault="00606B3F" w:rsidP="0004424E">
      <w:pPr>
        <w:pStyle w:val="ListParagraph"/>
        <w:numPr>
          <w:ilvl w:val="0"/>
          <w:numId w:val="1"/>
        </w:numPr>
        <w:spacing w:after="0" w:line="240" w:lineRule="auto"/>
        <w:rPr>
          <w:sz w:val="24"/>
          <w:szCs w:val="24"/>
        </w:rPr>
      </w:pPr>
      <w:r>
        <w:rPr>
          <w:b/>
          <w:bCs/>
          <w:sz w:val="24"/>
          <w:szCs w:val="24"/>
        </w:rPr>
        <w:t>Fees:</w:t>
      </w:r>
      <w:r>
        <w:rPr>
          <w:sz w:val="24"/>
          <w:szCs w:val="24"/>
        </w:rPr>
        <w:t xml:space="preserve"> Training Leaders: $5,000 each – For leading 3 sessions (tentatively, 5-6 hours total across the three synchronous sessions. </w:t>
      </w:r>
      <w:r w:rsidR="002978E9">
        <w:rPr>
          <w:sz w:val="24"/>
          <w:szCs w:val="24"/>
        </w:rPr>
        <w:t xml:space="preserve"> </w:t>
      </w:r>
      <w:r w:rsidR="002978E9">
        <w:rPr>
          <w:b/>
          <w:bCs/>
          <w:sz w:val="24"/>
          <w:szCs w:val="24"/>
        </w:rPr>
        <w:t>Total fees: $10,000</w:t>
      </w:r>
    </w:p>
    <w:p w14:paraId="35271B1D" w14:textId="4D9F6B5E" w:rsidR="00606B3F" w:rsidRDefault="00A65EB8" w:rsidP="0004424E">
      <w:pPr>
        <w:pStyle w:val="ListParagraph"/>
        <w:numPr>
          <w:ilvl w:val="0"/>
          <w:numId w:val="1"/>
        </w:numPr>
        <w:spacing w:after="0" w:line="240" w:lineRule="auto"/>
        <w:rPr>
          <w:sz w:val="24"/>
          <w:szCs w:val="24"/>
        </w:rPr>
      </w:pPr>
      <w:r>
        <w:rPr>
          <w:b/>
          <w:bCs/>
          <w:sz w:val="24"/>
          <w:szCs w:val="24"/>
        </w:rPr>
        <w:t xml:space="preserve">Topics and Learning Outcomes (Los). </w:t>
      </w:r>
      <w:r w:rsidRPr="00A65EB8">
        <w:rPr>
          <w:sz w:val="24"/>
          <w:szCs w:val="24"/>
        </w:rPr>
        <w:t>Topics</w:t>
      </w:r>
      <w:r>
        <w:rPr>
          <w:b/>
          <w:bCs/>
          <w:sz w:val="24"/>
          <w:szCs w:val="24"/>
        </w:rPr>
        <w:t xml:space="preserve">: </w:t>
      </w:r>
      <w:r>
        <w:rPr>
          <w:sz w:val="24"/>
          <w:szCs w:val="24"/>
        </w:rPr>
        <w:t xml:space="preserve">The planning group will send out a survey to ascertain the interest with topics.  LOs: to be determined following </w:t>
      </w:r>
      <w:r w:rsidR="006B551E">
        <w:rPr>
          <w:sz w:val="24"/>
          <w:szCs w:val="24"/>
        </w:rPr>
        <w:t xml:space="preserve">decisions made regarding topics. </w:t>
      </w:r>
    </w:p>
    <w:p w14:paraId="77E6C46B" w14:textId="36A7C344" w:rsidR="00F0354F" w:rsidRDefault="00F0354F" w:rsidP="0004424E">
      <w:pPr>
        <w:pStyle w:val="ListParagraph"/>
        <w:numPr>
          <w:ilvl w:val="0"/>
          <w:numId w:val="1"/>
        </w:numPr>
        <w:spacing w:after="0" w:line="240" w:lineRule="auto"/>
        <w:rPr>
          <w:sz w:val="24"/>
          <w:szCs w:val="24"/>
        </w:rPr>
      </w:pPr>
      <w:r>
        <w:rPr>
          <w:b/>
          <w:bCs/>
          <w:sz w:val="24"/>
          <w:szCs w:val="24"/>
        </w:rPr>
        <w:t>Qualifications of the campus facilitators.</w:t>
      </w:r>
      <w:r>
        <w:rPr>
          <w:sz w:val="24"/>
          <w:szCs w:val="24"/>
        </w:rPr>
        <w:t xml:space="preserve"> </w:t>
      </w:r>
      <w:r>
        <w:rPr>
          <w:b/>
          <w:bCs/>
          <w:sz w:val="24"/>
          <w:szCs w:val="24"/>
        </w:rPr>
        <w:t xml:space="preserve"> </w:t>
      </w:r>
      <w:r>
        <w:rPr>
          <w:sz w:val="24"/>
          <w:szCs w:val="24"/>
        </w:rPr>
        <w:t>Nicole mentioned that this might be difficult to discern since she is unfamiliar with our personnel. She suggested that we could gather competencies, expertise, interest based on individual’s past professional development, publications, past interest/involvement with EDI issues. She suggested also that we might create an application and have people apply to be a facilitator.</w:t>
      </w:r>
    </w:p>
    <w:p w14:paraId="5CFACE95" w14:textId="436FBC94" w:rsidR="00F0354F" w:rsidRDefault="006D6BCF" w:rsidP="0004424E">
      <w:pPr>
        <w:pStyle w:val="ListParagraph"/>
        <w:numPr>
          <w:ilvl w:val="0"/>
          <w:numId w:val="1"/>
        </w:numPr>
        <w:spacing w:after="0" w:line="240" w:lineRule="auto"/>
        <w:rPr>
          <w:sz w:val="24"/>
          <w:szCs w:val="24"/>
        </w:rPr>
      </w:pPr>
      <w:r>
        <w:rPr>
          <w:b/>
          <w:bCs/>
          <w:sz w:val="24"/>
          <w:szCs w:val="24"/>
        </w:rPr>
        <w:t>Question at previous COLD meeting about covering the topic of whether systemic racism exists in libraries.</w:t>
      </w:r>
      <w:r>
        <w:rPr>
          <w:sz w:val="24"/>
          <w:szCs w:val="24"/>
        </w:rPr>
        <w:t xml:space="preserve"> Nicole does not cover this topic. She suggested that preliminary work be done in this area, prior to people engaging in the training. She sent links to several resources to help with this.</w:t>
      </w:r>
    </w:p>
    <w:p w14:paraId="30A24046" w14:textId="383B5A67" w:rsidR="002978E9" w:rsidRDefault="002978E9" w:rsidP="002978E9">
      <w:pPr>
        <w:spacing w:after="0" w:line="240" w:lineRule="auto"/>
        <w:rPr>
          <w:sz w:val="24"/>
          <w:szCs w:val="24"/>
        </w:rPr>
      </w:pPr>
    </w:p>
    <w:p w14:paraId="2E692E09" w14:textId="76E2B96F" w:rsidR="002978E9" w:rsidRPr="004A6EDF" w:rsidRDefault="002978E9" w:rsidP="002978E9">
      <w:pPr>
        <w:spacing w:after="0" w:line="240" w:lineRule="auto"/>
        <w:rPr>
          <w:b/>
          <w:bCs/>
          <w:sz w:val="24"/>
          <w:szCs w:val="24"/>
        </w:rPr>
      </w:pPr>
      <w:r w:rsidRPr="004A6EDF">
        <w:rPr>
          <w:b/>
          <w:bCs/>
          <w:sz w:val="24"/>
          <w:szCs w:val="24"/>
        </w:rPr>
        <w:t>Resources she shared to use with an internal training on systemic racism:</w:t>
      </w:r>
    </w:p>
    <w:p w14:paraId="2104C121" w14:textId="77777777" w:rsidR="002978E9" w:rsidRPr="002978E9" w:rsidRDefault="002978E9" w:rsidP="002978E9">
      <w:pPr>
        <w:numPr>
          <w:ilvl w:val="0"/>
          <w:numId w:val="2"/>
        </w:numPr>
        <w:shd w:val="clear" w:color="auto" w:fill="FFFFFF"/>
        <w:spacing w:beforeAutospacing="1" w:after="0" w:afterAutospacing="1" w:line="240" w:lineRule="auto"/>
        <w:rPr>
          <w:rFonts w:ascii="Calibri Light" w:eastAsia="Times New Roman" w:hAnsi="Calibri Light" w:cs="Calibri Light"/>
          <w:color w:val="000000"/>
          <w:sz w:val="24"/>
          <w:szCs w:val="24"/>
        </w:rPr>
      </w:pPr>
      <w:hyperlink r:id="rId5" w:tgtFrame="_blank" w:history="1">
        <w:r w:rsidRPr="002978E9">
          <w:rPr>
            <w:rFonts w:ascii="Calibri Light" w:eastAsia="Times New Roman" w:hAnsi="Calibri Light" w:cs="Calibri Light"/>
            <w:color w:val="0000FF"/>
            <w:sz w:val="24"/>
            <w:szCs w:val="24"/>
            <w:u w:val="single"/>
            <w:bdr w:val="none" w:sz="0" w:space="0" w:color="auto" w:frame="1"/>
          </w:rPr>
          <w:t>https://www.library.wisc.edu/gwslibrarian/bibliographies/disrupting-whiteness-in-libraries/?fbclid=IwAR1EEmVNg7eH5p0Vlm5IwgSZcb8XEmF4Jfu9IQsMnD9_DJU1rhQyQyTmnpk</w:t>
        </w:r>
      </w:hyperlink>
      <w:r w:rsidRPr="002978E9">
        <w:rPr>
          <w:rFonts w:ascii="Calibri Light" w:eastAsia="Times New Roman" w:hAnsi="Calibri Light" w:cs="Calibri Light"/>
          <w:color w:val="000000"/>
          <w:sz w:val="24"/>
          <w:szCs w:val="24"/>
          <w:bdr w:val="none" w:sz="0" w:space="0" w:color="auto" w:frame="1"/>
        </w:rPr>
        <w:br/>
      </w:r>
    </w:p>
    <w:p w14:paraId="4E71C8C2" w14:textId="77777777" w:rsidR="002978E9" w:rsidRPr="002978E9" w:rsidRDefault="002978E9" w:rsidP="002978E9">
      <w:pPr>
        <w:numPr>
          <w:ilvl w:val="0"/>
          <w:numId w:val="2"/>
        </w:numPr>
        <w:shd w:val="clear" w:color="auto" w:fill="FFFFFF"/>
        <w:spacing w:beforeAutospacing="1" w:after="0" w:afterAutospacing="1" w:line="240" w:lineRule="auto"/>
        <w:rPr>
          <w:rFonts w:ascii="Calibri Light" w:eastAsia="Times New Roman" w:hAnsi="Calibri Light" w:cs="Calibri Light"/>
          <w:color w:val="000000"/>
          <w:sz w:val="24"/>
          <w:szCs w:val="24"/>
        </w:rPr>
      </w:pPr>
      <w:hyperlink r:id="rId6" w:tgtFrame="_blank" w:history="1">
        <w:r w:rsidRPr="002978E9">
          <w:rPr>
            <w:rFonts w:ascii="Calibri Light" w:eastAsia="Times New Roman" w:hAnsi="Calibri Light" w:cs="Calibri Light"/>
            <w:color w:val="0000FF"/>
            <w:sz w:val="24"/>
            <w:szCs w:val="24"/>
            <w:u w:val="single"/>
            <w:bdr w:val="none" w:sz="0" w:space="0" w:color="auto" w:frame="1"/>
          </w:rPr>
          <w:t>https://hangingtogether.org/?p=8908</w:t>
        </w:r>
      </w:hyperlink>
    </w:p>
    <w:p w14:paraId="7E2F9609" w14:textId="77777777" w:rsidR="002978E9" w:rsidRPr="002978E9" w:rsidRDefault="002978E9" w:rsidP="002978E9">
      <w:pPr>
        <w:numPr>
          <w:ilvl w:val="0"/>
          <w:numId w:val="2"/>
        </w:numPr>
        <w:shd w:val="clear" w:color="auto" w:fill="FFFFFF"/>
        <w:spacing w:beforeAutospacing="1" w:after="0" w:afterAutospacing="1" w:line="240" w:lineRule="auto"/>
        <w:rPr>
          <w:rFonts w:ascii="Calibri Light" w:eastAsia="Times New Roman" w:hAnsi="Calibri Light" w:cs="Calibri Light"/>
          <w:color w:val="000000"/>
          <w:sz w:val="24"/>
          <w:szCs w:val="24"/>
        </w:rPr>
      </w:pPr>
      <w:hyperlink r:id="rId7" w:tgtFrame="_blank" w:history="1">
        <w:r w:rsidRPr="002978E9">
          <w:rPr>
            <w:rFonts w:ascii="Calibri Light" w:eastAsia="Times New Roman" w:hAnsi="Calibri Light" w:cs="Calibri Light"/>
            <w:color w:val="0000FF"/>
            <w:sz w:val="24"/>
            <w:szCs w:val="24"/>
            <w:u w:val="single"/>
            <w:bdr w:val="none" w:sz="0" w:space="0" w:color="auto" w:frame="1"/>
          </w:rPr>
          <w:t>https://coco-net.org/wp-content/uploads/2019/11/Coco-WhiteSupCulture-ENG4.pdf</w:t>
        </w:r>
      </w:hyperlink>
    </w:p>
    <w:p w14:paraId="029BD621" w14:textId="14FE6B84" w:rsidR="002978E9" w:rsidRDefault="002978E9" w:rsidP="002978E9">
      <w:pPr>
        <w:numPr>
          <w:ilvl w:val="0"/>
          <w:numId w:val="2"/>
        </w:numPr>
        <w:shd w:val="clear" w:color="auto" w:fill="FFFFFF"/>
        <w:spacing w:beforeAutospacing="1" w:after="0" w:afterAutospacing="1" w:line="240" w:lineRule="auto"/>
        <w:rPr>
          <w:rFonts w:ascii="Calibri Light" w:eastAsia="Times New Roman" w:hAnsi="Calibri Light" w:cs="Calibri Light"/>
          <w:color w:val="000000"/>
          <w:sz w:val="24"/>
          <w:szCs w:val="24"/>
        </w:rPr>
      </w:pPr>
      <w:hyperlink r:id="rId8" w:tgtFrame="_blank" w:history="1">
        <w:r w:rsidRPr="002978E9">
          <w:rPr>
            <w:rFonts w:ascii="Calibri Light" w:eastAsia="Times New Roman" w:hAnsi="Calibri Light" w:cs="Calibri Light"/>
            <w:color w:val="0000FF"/>
            <w:sz w:val="24"/>
            <w:szCs w:val="24"/>
            <w:u w:val="single"/>
            <w:bdr w:val="none" w:sz="0" w:space="0" w:color="auto" w:frame="1"/>
          </w:rPr>
          <w:t>http://www.inthelibrarywiththeleadpipe.org/2015/lis-diversity/?fbclid=IwAR1IS62lPnm8V0zG-VxekuVqaRT8kQjdLzpHHVHNiPzL_dgelnYDiKB_mN0</w:t>
        </w:r>
      </w:hyperlink>
    </w:p>
    <w:p w14:paraId="7F6F516F" w14:textId="192BE923" w:rsidR="002978E9" w:rsidRPr="002978E9" w:rsidRDefault="002978E9" w:rsidP="002978E9">
      <w:pPr>
        <w:numPr>
          <w:ilvl w:val="0"/>
          <w:numId w:val="2"/>
        </w:numPr>
        <w:shd w:val="clear" w:color="auto" w:fill="FFFFFF"/>
        <w:spacing w:beforeAutospacing="1" w:after="0" w:afterAutospacing="1" w:line="240" w:lineRule="auto"/>
        <w:rPr>
          <w:rFonts w:ascii="Calibri Light" w:eastAsia="Times New Roman" w:hAnsi="Calibri Light" w:cs="Calibri Light"/>
          <w:color w:val="000000"/>
          <w:sz w:val="24"/>
          <w:szCs w:val="24"/>
        </w:rPr>
      </w:pPr>
      <w:hyperlink r:id="rId9" w:tgtFrame="_blank" w:history="1">
        <w:r>
          <w:rPr>
            <w:rStyle w:val="Hyperlink"/>
            <w:rFonts w:ascii="Calibri Light" w:hAnsi="Calibri Light" w:cs="Calibri Light"/>
            <w:bdr w:val="none" w:sz="0" w:space="0" w:color="auto" w:frame="1"/>
            <w:shd w:val="clear" w:color="auto" w:fill="FFFFFF"/>
          </w:rPr>
          <w:t>https://www.insidehighered.com/advice/2018/01/12/checklist-determine-if-you-are-supporting-white-supremacy-opinion?fbclid=IwAR3St_Bu08ogJBkcbH15pNOn3Wt9x_yMolEgK4JWbYKyp1-QXe1J0ZXo_oM</w:t>
        </w:r>
      </w:hyperlink>
    </w:p>
    <w:p w14:paraId="74A72538" w14:textId="77777777" w:rsidR="002978E9" w:rsidRPr="002978E9" w:rsidRDefault="002978E9" w:rsidP="002978E9">
      <w:pPr>
        <w:spacing w:after="0" w:line="240" w:lineRule="auto"/>
        <w:rPr>
          <w:sz w:val="24"/>
          <w:szCs w:val="24"/>
        </w:rPr>
      </w:pPr>
    </w:p>
    <w:p w14:paraId="509CCFB0" w14:textId="3D211EA6" w:rsidR="00F0354F" w:rsidRDefault="00F0354F" w:rsidP="00F0354F">
      <w:pPr>
        <w:spacing w:after="0" w:line="240" w:lineRule="auto"/>
        <w:rPr>
          <w:sz w:val="24"/>
          <w:szCs w:val="24"/>
        </w:rPr>
      </w:pPr>
    </w:p>
    <w:p w14:paraId="3AA19ECC" w14:textId="6555BF70" w:rsidR="00F0354F" w:rsidRDefault="00F0354F" w:rsidP="00F0354F">
      <w:pPr>
        <w:spacing w:after="0" w:line="240" w:lineRule="auto"/>
        <w:rPr>
          <w:sz w:val="24"/>
          <w:szCs w:val="24"/>
        </w:rPr>
      </w:pPr>
    </w:p>
    <w:sectPr w:rsidR="00F03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D6D2C"/>
    <w:multiLevelType w:val="multilevel"/>
    <w:tmpl w:val="E95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0725C9"/>
    <w:multiLevelType w:val="hybridMultilevel"/>
    <w:tmpl w:val="BF9A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4E"/>
    <w:rsid w:val="00023BB0"/>
    <w:rsid w:val="0004424E"/>
    <w:rsid w:val="00172469"/>
    <w:rsid w:val="002978E9"/>
    <w:rsid w:val="00432916"/>
    <w:rsid w:val="004A6EDF"/>
    <w:rsid w:val="00606B3F"/>
    <w:rsid w:val="006B551E"/>
    <w:rsid w:val="006D6BCF"/>
    <w:rsid w:val="00A65EB8"/>
    <w:rsid w:val="00DC4A99"/>
    <w:rsid w:val="00DD4B8F"/>
    <w:rsid w:val="00F0354F"/>
    <w:rsid w:val="00F1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6D01"/>
  <w15:chartTrackingRefBased/>
  <w15:docId w15:val="{64B48C60-0FE7-4D54-A40C-AA43A7D1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DC4A99"/>
    <w:pPr>
      <w:spacing w:after="0" w:line="480" w:lineRule="auto"/>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1Heading">
    <w:name w:val="APA 1 Heading"/>
    <w:basedOn w:val="Normal"/>
    <w:link w:val="APA1HeadingChar"/>
    <w:autoRedefine/>
    <w:qFormat/>
    <w:rsid w:val="00172469"/>
    <w:pPr>
      <w:autoSpaceDE w:val="0"/>
      <w:autoSpaceDN w:val="0"/>
      <w:adjustRightInd w:val="0"/>
      <w:spacing w:after="0" w:line="480" w:lineRule="auto"/>
      <w:jc w:val="center"/>
    </w:pPr>
    <w:rPr>
      <w:rFonts w:ascii="Times New Roman" w:eastAsia="Times New Roman" w:hAnsi="Times New Roman" w:cstheme="minorHAnsi"/>
      <w:b/>
      <w:sz w:val="24"/>
      <w:szCs w:val="24"/>
    </w:rPr>
  </w:style>
  <w:style w:type="character" w:customStyle="1" w:styleId="APA1HeadingChar">
    <w:name w:val="APA 1 Heading Char"/>
    <w:basedOn w:val="DefaultParagraphFont"/>
    <w:link w:val="APA1Heading"/>
    <w:rsid w:val="00172469"/>
    <w:rPr>
      <w:rFonts w:ascii="Times New Roman" w:eastAsia="Times New Roman" w:hAnsi="Times New Roman" w:cstheme="minorHAnsi"/>
      <w:b/>
      <w:sz w:val="24"/>
      <w:szCs w:val="24"/>
    </w:rPr>
  </w:style>
  <w:style w:type="paragraph" w:customStyle="1" w:styleId="Heading1APA">
    <w:name w:val="Heading 1 APA"/>
    <w:basedOn w:val="APA1Heading"/>
    <w:link w:val="Heading1APAChar"/>
    <w:autoRedefine/>
    <w:qFormat/>
    <w:rsid w:val="00DC4A99"/>
    <w:pPr>
      <w:autoSpaceDE/>
      <w:autoSpaceDN/>
      <w:adjustRightInd/>
    </w:pPr>
    <w:rPr>
      <w:rFonts w:cs="Times New Roman"/>
    </w:rPr>
  </w:style>
  <w:style w:type="character" w:customStyle="1" w:styleId="Heading1APAChar">
    <w:name w:val="Heading 1 APA Char"/>
    <w:basedOn w:val="DefaultParagraphFont"/>
    <w:link w:val="Heading1APA"/>
    <w:rsid w:val="00DC4A99"/>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DC4A99"/>
    <w:rPr>
      <w:rFonts w:ascii="Times New Roman" w:eastAsia="Times New Roman" w:hAnsi="Times New Roman" w:cs="Times New Roman"/>
      <w:b/>
      <w:sz w:val="24"/>
      <w:szCs w:val="24"/>
    </w:rPr>
  </w:style>
  <w:style w:type="paragraph" w:styleId="ListParagraph">
    <w:name w:val="List Paragraph"/>
    <w:basedOn w:val="Normal"/>
    <w:uiPriority w:val="34"/>
    <w:qFormat/>
    <w:rsid w:val="0004424E"/>
    <w:pPr>
      <w:ind w:left="720"/>
      <w:contextualSpacing/>
    </w:pPr>
  </w:style>
  <w:style w:type="character" w:styleId="Hyperlink">
    <w:name w:val="Hyperlink"/>
    <w:basedOn w:val="DefaultParagraphFont"/>
    <w:uiPriority w:val="99"/>
    <w:semiHidden/>
    <w:unhideWhenUsed/>
    <w:rsid w:val="00297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4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inthelibrarywiththeleadpipe.org/2015/lis-diversity/?fbclid=IwAR1IS62lPnm8V0zG-VxekuVqaRT8kQjdLzpHHVHNiPzL_dgelnYDiKB_mN0__;!!P7nkOOY!4QMjXP-EjrcD6EbAhjfGKx33yTd7fVadz12ZCWALeNXZtC8TacIw5XrHs4EcKdi7$" TargetMode="External"/><Relationship Id="rId3" Type="http://schemas.openxmlformats.org/officeDocument/2006/relationships/settings" Target="settings.xml"/><Relationship Id="rId7" Type="http://schemas.openxmlformats.org/officeDocument/2006/relationships/hyperlink" Target="https://urldefense.com/v3/__https:/coco-net.org/wp-content/uploads/2019/11/Coco-WhiteSupCulture-ENG4.pdf__;!!P7nkOOY!4QMjXP-EjrcD6EbAhjfGKx33yTd7fVadz12ZCWALeNXZtC8TacIw5XrHs0tDGAY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hangingtogether.org/?p=8908__;!!P7nkOOY!4QMjXP-EjrcD6EbAhjfGKx33yTd7fVadz12ZCWALeNXZtC8TacIw5XrHs4w75mpY$" TargetMode="External"/><Relationship Id="rId11" Type="http://schemas.openxmlformats.org/officeDocument/2006/relationships/theme" Target="theme/theme1.xml"/><Relationship Id="rId5" Type="http://schemas.openxmlformats.org/officeDocument/2006/relationships/hyperlink" Target="https://urldefense.com/v3/__https:/www.library.wisc.edu/gwslibrarian/bibliographies/disrupting-whiteness-in-libraries/?fbclid=IwAR1EEmVNg7eH5p0Vlm5IwgSZcb8XEmF4Jfu9IQsMnD9_DJU1rhQyQyTmnpk__;!!P7nkOOY!4QMjXP-EjrcD6EbAhjfGKx33yTd7fVadz12ZCWALeNXZtC8TacIw5XrHs6jQqp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www.insidehighered.com/advice/2018/01/12/checklist-determine-if-you-are-supporting-white-supremacy-opinion?fbclid=IwAR3St_Bu08ogJBkcbH15pNOn3Wt9x_yMolEgK4JWbYKyp1-QXe1J0ZXo_oM__;!!P7nkOOY!4AXMix8Hs2czJUFUkQbriqajZmXpYU8TbA8akMJDFK4FoXjKxnPuGXSMMM02K5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Sterling Brasley, Ed.D</dc:creator>
  <cp:keywords/>
  <dc:description/>
  <cp:lastModifiedBy>Stephanie Sterling Brasley, Ed.D</cp:lastModifiedBy>
  <cp:revision>10</cp:revision>
  <dcterms:created xsi:type="dcterms:W3CDTF">2021-03-19T07:07:00Z</dcterms:created>
  <dcterms:modified xsi:type="dcterms:W3CDTF">2021-03-19T07:34:00Z</dcterms:modified>
</cp:coreProperties>
</file>