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F3A92" w14:textId="34882FE5" w:rsidR="00D10585" w:rsidRDefault="00603B0C" w:rsidP="00B04E0F">
      <w:pPr>
        <w:jc w:val="center"/>
        <w:outlineLvl w:val="0"/>
        <w:rPr>
          <w:b/>
        </w:rPr>
      </w:pPr>
      <w:r w:rsidRPr="00603B0C">
        <w:rPr>
          <w:b/>
        </w:rPr>
        <w:t>ECC Analysis</w:t>
      </w:r>
      <w:r w:rsidR="00BF5BBA">
        <w:rPr>
          <w:b/>
        </w:rPr>
        <w:t>:</w:t>
      </w:r>
      <w:r w:rsidRPr="00603B0C">
        <w:rPr>
          <w:b/>
        </w:rPr>
        <w:t xml:space="preserve"> Executive Summary</w:t>
      </w:r>
    </w:p>
    <w:p w14:paraId="40C72BE6" w14:textId="6BF30524" w:rsidR="002A43C9" w:rsidRDefault="002F1D74" w:rsidP="00B04E0F">
      <w:pPr>
        <w:jc w:val="center"/>
        <w:outlineLvl w:val="0"/>
        <w:rPr>
          <w:b/>
        </w:rPr>
      </w:pPr>
      <w:r>
        <w:rPr>
          <w:b/>
        </w:rPr>
        <w:t xml:space="preserve">November </w:t>
      </w:r>
      <w:r w:rsidR="002A43C9">
        <w:rPr>
          <w:b/>
        </w:rPr>
        <w:t>2019</w:t>
      </w:r>
    </w:p>
    <w:p w14:paraId="00C5DAF4" w14:textId="68E979E6" w:rsidR="0046181F" w:rsidRDefault="00DA6F11" w:rsidP="00B04E0F">
      <w:pPr>
        <w:jc w:val="center"/>
        <w:outlineLvl w:val="0"/>
      </w:pPr>
      <w:r w:rsidRPr="00DA6F11">
        <w:t>Michele Van Hoeck</w:t>
      </w:r>
      <w:r>
        <w:t xml:space="preserve"> (</w:t>
      </w:r>
      <w:r w:rsidR="00157ADC">
        <w:t xml:space="preserve">2018-19 EAR </w:t>
      </w:r>
      <w:r>
        <w:t>Chair, Maritime)</w:t>
      </w:r>
      <w:r w:rsidRPr="00DA6F11">
        <w:t>, Tracy Gilmore</w:t>
      </w:r>
      <w:r>
        <w:t xml:space="preserve"> (LB)</w:t>
      </w:r>
      <w:r w:rsidRPr="00DA6F11">
        <w:t>, Carol Perruso</w:t>
      </w:r>
      <w:r>
        <w:t xml:space="preserve"> (LB)</w:t>
      </w:r>
      <w:r w:rsidRPr="00DA6F11">
        <w:t xml:space="preserve">, </w:t>
      </w:r>
    </w:p>
    <w:p w14:paraId="4BDF7DB6" w14:textId="6A45AF91" w:rsidR="002A43C9" w:rsidRPr="00DA6F11" w:rsidRDefault="578D8EC5" w:rsidP="00B04E0F">
      <w:pPr>
        <w:jc w:val="center"/>
        <w:outlineLvl w:val="0"/>
      </w:pPr>
      <w:proofErr w:type="spellStart"/>
      <w:r>
        <w:t>Brinna</w:t>
      </w:r>
      <w:proofErr w:type="spellEnd"/>
      <w:r>
        <w:t xml:space="preserve"> Pam Anan (Pomona)</w:t>
      </w:r>
    </w:p>
    <w:p w14:paraId="279A20AD" w14:textId="1D690EE8" w:rsidR="578D8EC5" w:rsidRDefault="578D8EC5" w:rsidP="578D8EC5">
      <w:pPr>
        <w:rPr>
          <w:sz w:val="22"/>
          <w:szCs w:val="22"/>
        </w:rPr>
      </w:pPr>
    </w:p>
    <w:p w14:paraId="41450D51" w14:textId="3D7EA9AD" w:rsidR="0037048A" w:rsidRDefault="00903068" w:rsidP="689981D0">
      <w:pPr>
        <w:rPr>
          <w:sz w:val="22"/>
          <w:szCs w:val="22"/>
        </w:rPr>
      </w:pPr>
      <w:r>
        <w:rPr>
          <w:noProof/>
        </w:rPr>
        <mc:AlternateContent>
          <mc:Choice Requires="wps">
            <w:drawing>
              <wp:anchor distT="0" distB="0" distL="114300" distR="114300" simplePos="0" relativeHeight="251658241" behindDoc="0" locked="0" layoutInCell="1" allowOverlap="1" wp14:anchorId="2058DDB4" wp14:editId="1F5A235C">
                <wp:simplePos x="0" y="0"/>
                <wp:positionH relativeFrom="margin">
                  <wp:align>right</wp:align>
                </wp:positionH>
                <wp:positionV relativeFrom="margin">
                  <wp:posOffset>1647825</wp:posOffset>
                </wp:positionV>
                <wp:extent cx="2206625" cy="2057400"/>
                <wp:effectExtent l="0" t="0" r="22225" b="19050"/>
                <wp:wrapSquare wrapText="bothSides"/>
                <wp:docPr id="568747856" name="Text Box 1"/>
                <wp:cNvGraphicFramePr/>
                <a:graphic xmlns:a="http://schemas.openxmlformats.org/drawingml/2006/main">
                  <a:graphicData uri="http://schemas.microsoft.com/office/word/2010/wordprocessingShape">
                    <wps:wsp>
                      <wps:cNvSpPr txBox="1"/>
                      <wps:spPr>
                        <a:xfrm>
                          <a:off x="0" y="0"/>
                          <a:ext cx="2206625" cy="20574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4B1D78" w14:textId="77777777" w:rsidR="00F93B0F" w:rsidRPr="00B77D38" w:rsidRDefault="00F93B0F" w:rsidP="00F93B0F">
                            <w:pPr>
                              <w:rPr>
                                <w:b/>
                                <w:color w:val="000000" w:themeColor="text1"/>
                                <w:sz w:val="18"/>
                                <w:szCs w:val="18"/>
                              </w:rPr>
                            </w:pPr>
                            <w:r w:rsidRPr="00B77D38">
                              <w:rPr>
                                <w:b/>
                                <w:color w:val="000000" w:themeColor="text1"/>
                                <w:sz w:val="18"/>
                                <w:szCs w:val="18"/>
                              </w:rPr>
                              <w:t xml:space="preserve">Table 1: </w:t>
                            </w:r>
                            <w:r>
                              <w:rPr>
                                <w:b/>
                                <w:color w:val="000000" w:themeColor="text1"/>
                                <w:sz w:val="18"/>
                                <w:szCs w:val="18"/>
                              </w:rPr>
                              <w:t>Broadly</w:t>
                            </w:r>
                            <w:r w:rsidRPr="00B77D38">
                              <w:rPr>
                                <w:b/>
                                <w:color w:val="000000" w:themeColor="text1"/>
                                <w:sz w:val="18"/>
                                <w:szCs w:val="18"/>
                              </w:rPr>
                              <w:t xml:space="preserve"> Used and Highly Ra</w:t>
                            </w:r>
                            <w:r>
                              <w:rPr>
                                <w:b/>
                                <w:color w:val="000000" w:themeColor="text1"/>
                                <w:sz w:val="18"/>
                                <w:szCs w:val="18"/>
                              </w:rPr>
                              <w:t>ted</w:t>
                            </w:r>
                          </w:p>
                          <w:p w14:paraId="57B648B4" w14:textId="77777777" w:rsidR="00F93B0F" w:rsidRPr="00591EF6" w:rsidRDefault="00F93B0F" w:rsidP="00F93B0F">
                            <w:pPr>
                              <w:pStyle w:val="ListParagraph"/>
                              <w:numPr>
                                <w:ilvl w:val="0"/>
                                <w:numId w:val="2"/>
                              </w:numPr>
                              <w:ind w:left="288" w:hanging="144"/>
                              <w:rPr>
                                <w:i/>
                                <w:color w:val="000000" w:themeColor="text1"/>
                                <w:sz w:val="18"/>
                                <w:szCs w:val="18"/>
                              </w:rPr>
                            </w:pPr>
                            <w:r w:rsidRPr="00B77D38">
                              <w:rPr>
                                <w:i/>
                                <w:color w:val="000000" w:themeColor="text1"/>
                                <w:sz w:val="18"/>
                                <w:szCs w:val="18"/>
                              </w:rPr>
                              <w:t>ABI Inform (Business)</w:t>
                            </w:r>
                          </w:p>
                          <w:p w14:paraId="070FFF81" w14:textId="77777777" w:rsidR="00F93B0F" w:rsidRPr="00591EF6" w:rsidRDefault="00F93B0F" w:rsidP="00F93B0F">
                            <w:pPr>
                              <w:pStyle w:val="ListParagraph"/>
                              <w:numPr>
                                <w:ilvl w:val="0"/>
                                <w:numId w:val="2"/>
                              </w:numPr>
                              <w:ind w:left="288" w:hanging="144"/>
                              <w:rPr>
                                <w:i/>
                                <w:color w:val="000000" w:themeColor="text1"/>
                                <w:sz w:val="18"/>
                                <w:szCs w:val="18"/>
                              </w:rPr>
                            </w:pPr>
                            <w:r w:rsidRPr="00591EF6">
                              <w:rPr>
                                <w:i/>
                                <w:color w:val="000000" w:themeColor="text1"/>
                                <w:sz w:val="18"/>
                                <w:szCs w:val="18"/>
                              </w:rPr>
                              <w:t>Academic Search Premier / Business Source Premier</w:t>
                            </w:r>
                          </w:p>
                          <w:p w14:paraId="0BC9B0BD" w14:textId="77777777" w:rsidR="00F93B0F" w:rsidRPr="00591EF6" w:rsidRDefault="00F93B0F" w:rsidP="00F93B0F">
                            <w:pPr>
                              <w:pStyle w:val="ListParagraph"/>
                              <w:numPr>
                                <w:ilvl w:val="0"/>
                                <w:numId w:val="2"/>
                              </w:numPr>
                              <w:ind w:left="288" w:hanging="144"/>
                              <w:rPr>
                                <w:i/>
                                <w:color w:val="000000" w:themeColor="text1"/>
                                <w:sz w:val="18"/>
                                <w:szCs w:val="18"/>
                              </w:rPr>
                            </w:pPr>
                            <w:r w:rsidRPr="00591EF6">
                              <w:rPr>
                                <w:i/>
                                <w:color w:val="000000" w:themeColor="text1"/>
                                <w:sz w:val="18"/>
                                <w:szCs w:val="18"/>
                              </w:rPr>
                              <w:t xml:space="preserve">Academic Complete eBooks </w:t>
                            </w:r>
                          </w:p>
                          <w:p w14:paraId="538DF0F7" w14:textId="77777777" w:rsidR="00F93B0F" w:rsidRPr="00591EF6" w:rsidRDefault="00F93B0F" w:rsidP="00F93B0F">
                            <w:pPr>
                              <w:pStyle w:val="ListParagraph"/>
                              <w:numPr>
                                <w:ilvl w:val="0"/>
                                <w:numId w:val="2"/>
                              </w:numPr>
                              <w:ind w:left="288" w:hanging="144"/>
                              <w:rPr>
                                <w:i/>
                                <w:color w:val="000000" w:themeColor="text1"/>
                                <w:sz w:val="18"/>
                                <w:szCs w:val="18"/>
                              </w:rPr>
                            </w:pPr>
                            <w:r w:rsidRPr="00591EF6">
                              <w:rPr>
                                <w:i/>
                                <w:color w:val="000000" w:themeColor="text1"/>
                                <w:sz w:val="18"/>
                                <w:szCs w:val="18"/>
                              </w:rPr>
                              <w:t>CINAHL Complete (Health)</w:t>
                            </w:r>
                          </w:p>
                          <w:p w14:paraId="07621750" w14:textId="77777777" w:rsidR="00F93B0F" w:rsidRPr="00B77D38" w:rsidRDefault="00F93B0F" w:rsidP="00F93B0F">
                            <w:pPr>
                              <w:pStyle w:val="ListParagraph"/>
                              <w:numPr>
                                <w:ilvl w:val="0"/>
                                <w:numId w:val="2"/>
                              </w:numPr>
                              <w:ind w:left="288" w:hanging="144"/>
                              <w:rPr>
                                <w:i/>
                                <w:color w:val="000000" w:themeColor="text1"/>
                                <w:sz w:val="18"/>
                                <w:szCs w:val="18"/>
                              </w:rPr>
                            </w:pPr>
                            <w:r w:rsidRPr="00B77D38">
                              <w:rPr>
                                <w:i/>
                                <w:color w:val="000000" w:themeColor="text1"/>
                                <w:sz w:val="18"/>
                                <w:szCs w:val="18"/>
                              </w:rPr>
                              <w:t>Communication &amp; Mass Media Complete</w:t>
                            </w:r>
                          </w:p>
                          <w:p w14:paraId="59251AE6" w14:textId="77777777" w:rsidR="00F93B0F" w:rsidRPr="00B77D38" w:rsidRDefault="00F93B0F" w:rsidP="00F93B0F">
                            <w:pPr>
                              <w:pStyle w:val="ListParagraph"/>
                              <w:numPr>
                                <w:ilvl w:val="0"/>
                                <w:numId w:val="2"/>
                              </w:numPr>
                              <w:ind w:left="288" w:hanging="144"/>
                              <w:rPr>
                                <w:i/>
                                <w:color w:val="000000" w:themeColor="text1"/>
                                <w:sz w:val="18"/>
                                <w:szCs w:val="18"/>
                              </w:rPr>
                            </w:pPr>
                            <w:r w:rsidRPr="00B77D38">
                              <w:rPr>
                                <w:i/>
                                <w:color w:val="000000" w:themeColor="text1"/>
                                <w:sz w:val="18"/>
                                <w:szCs w:val="18"/>
                              </w:rPr>
                              <w:t xml:space="preserve">Global </w:t>
                            </w:r>
                            <w:proofErr w:type="spellStart"/>
                            <w:r w:rsidRPr="00B77D38">
                              <w:rPr>
                                <w:i/>
                                <w:color w:val="000000" w:themeColor="text1"/>
                                <w:sz w:val="18"/>
                                <w:szCs w:val="18"/>
                              </w:rPr>
                              <w:t>Newsstream</w:t>
                            </w:r>
                            <w:proofErr w:type="spellEnd"/>
                          </w:p>
                          <w:p w14:paraId="7F85C44A" w14:textId="77777777" w:rsidR="00F93B0F" w:rsidRPr="00B77D38" w:rsidRDefault="00F93B0F" w:rsidP="00F93B0F">
                            <w:pPr>
                              <w:pStyle w:val="ListParagraph"/>
                              <w:numPr>
                                <w:ilvl w:val="0"/>
                                <w:numId w:val="2"/>
                              </w:numPr>
                              <w:ind w:left="288" w:hanging="144"/>
                              <w:rPr>
                                <w:i/>
                                <w:color w:val="000000" w:themeColor="text1"/>
                                <w:sz w:val="18"/>
                                <w:szCs w:val="18"/>
                              </w:rPr>
                            </w:pPr>
                            <w:r w:rsidRPr="00B77D38">
                              <w:rPr>
                                <w:i/>
                                <w:color w:val="000000" w:themeColor="text1"/>
                                <w:sz w:val="18"/>
                                <w:szCs w:val="18"/>
                              </w:rPr>
                              <w:t>JSTOR (13 collections)</w:t>
                            </w:r>
                          </w:p>
                          <w:p w14:paraId="49C849D0" w14:textId="77777777" w:rsidR="00F93B0F" w:rsidRPr="00591EF6" w:rsidRDefault="00F93B0F" w:rsidP="00F93B0F">
                            <w:pPr>
                              <w:pStyle w:val="ListParagraph"/>
                              <w:numPr>
                                <w:ilvl w:val="0"/>
                                <w:numId w:val="2"/>
                              </w:numPr>
                              <w:ind w:left="288" w:hanging="144"/>
                              <w:rPr>
                                <w:i/>
                                <w:color w:val="000000" w:themeColor="text1"/>
                                <w:sz w:val="18"/>
                                <w:szCs w:val="18"/>
                              </w:rPr>
                            </w:pPr>
                            <w:proofErr w:type="spellStart"/>
                            <w:r w:rsidRPr="00B77D38">
                              <w:rPr>
                                <w:i/>
                                <w:color w:val="000000" w:themeColor="text1"/>
                                <w:sz w:val="18"/>
                                <w:szCs w:val="18"/>
                              </w:rPr>
                              <w:t>PsycArticles</w:t>
                            </w:r>
                            <w:proofErr w:type="spellEnd"/>
                          </w:p>
                          <w:p w14:paraId="23C47F04" w14:textId="77777777" w:rsidR="00F93B0F" w:rsidRDefault="00F93B0F" w:rsidP="00F93B0F">
                            <w:pPr>
                              <w:pStyle w:val="ListParagraph"/>
                              <w:numPr>
                                <w:ilvl w:val="0"/>
                                <w:numId w:val="2"/>
                              </w:numPr>
                              <w:ind w:left="288" w:hanging="144"/>
                              <w:rPr>
                                <w:i/>
                                <w:color w:val="000000" w:themeColor="text1"/>
                                <w:sz w:val="18"/>
                                <w:szCs w:val="18"/>
                              </w:rPr>
                            </w:pPr>
                            <w:proofErr w:type="spellStart"/>
                            <w:r>
                              <w:rPr>
                                <w:i/>
                                <w:color w:val="000000" w:themeColor="text1"/>
                                <w:sz w:val="18"/>
                                <w:szCs w:val="18"/>
                              </w:rPr>
                              <w:t>PsycInfo</w:t>
                            </w:r>
                            <w:proofErr w:type="spellEnd"/>
                          </w:p>
                          <w:p w14:paraId="444976BF" w14:textId="77777777" w:rsidR="00F93B0F" w:rsidRPr="00591EF6" w:rsidRDefault="00F93B0F" w:rsidP="00F93B0F">
                            <w:pPr>
                              <w:pStyle w:val="ListParagraph"/>
                              <w:numPr>
                                <w:ilvl w:val="0"/>
                                <w:numId w:val="2"/>
                              </w:numPr>
                              <w:ind w:left="288" w:hanging="144"/>
                              <w:rPr>
                                <w:i/>
                                <w:color w:val="000000" w:themeColor="text1"/>
                                <w:sz w:val="18"/>
                                <w:szCs w:val="18"/>
                              </w:rPr>
                            </w:pPr>
                            <w:r w:rsidRPr="00591EF6">
                              <w:rPr>
                                <w:i/>
                                <w:color w:val="000000" w:themeColor="text1"/>
                                <w:sz w:val="18"/>
                                <w:szCs w:val="18"/>
                              </w:rPr>
                              <w:t>Sociological / Social Services Abs.</w:t>
                            </w:r>
                          </w:p>
                          <w:p w14:paraId="515D635D" w14:textId="77777777" w:rsidR="00F93B0F" w:rsidRPr="002643D9" w:rsidRDefault="00F93B0F" w:rsidP="00F93B0F">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58DDB4" id="_x0000_t202" coordsize="21600,21600" o:spt="202" path="m,l,21600r21600,l21600,xe">
                <v:stroke joinstyle="miter"/>
                <v:path gradientshapeok="t" o:connecttype="rect"/>
              </v:shapetype>
              <v:shape id="Text Box 1" o:spid="_x0000_s1026" type="#_x0000_t202" style="position:absolute;margin-left:122.55pt;margin-top:129.75pt;width:173.75pt;height:162pt;z-index:251658241;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" filled="f" strokecolor="black [3213]" strokeweight="1pt">
                <v:textbox>
                  <w:txbxContent>
                    <w:p w14:paraId="374B1D78" w14:textId="77777777" w:rsidR="00F93B0F" w:rsidRPr="00B77D38" w:rsidRDefault="00F93B0F" w:rsidP="00F93B0F">
                      <w:pPr>
                        <w:rPr>
                          <w:b/>
                          <w:color w:val="000000" w:themeColor="text1"/>
                          <w:sz w:val="18"/>
                          <w:szCs w:val="18"/>
                        </w:rPr>
                      </w:pPr>
                      <w:r w:rsidRPr="00B77D38">
                        <w:rPr>
                          <w:b/>
                          <w:color w:val="000000" w:themeColor="text1"/>
                          <w:sz w:val="18"/>
                          <w:szCs w:val="18"/>
                        </w:rPr>
                        <w:t xml:space="preserve">Table 1: </w:t>
                      </w:r>
                      <w:r>
                        <w:rPr>
                          <w:b/>
                          <w:color w:val="000000" w:themeColor="text1"/>
                          <w:sz w:val="18"/>
                          <w:szCs w:val="18"/>
                        </w:rPr>
                        <w:t>Broadly</w:t>
                      </w:r>
                      <w:r w:rsidRPr="00B77D38">
                        <w:rPr>
                          <w:b/>
                          <w:color w:val="000000" w:themeColor="text1"/>
                          <w:sz w:val="18"/>
                          <w:szCs w:val="18"/>
                        </w:rPr>
                        <w:t xml:space="preserve"> Used and Highly Ra</w:t>
                      </w:r>
                      <w:r>
                        <w:rPr>
                          <w:b/>
                          <w:color w:val="000000" w:themeColor="text1"/>
                          <w:sz w:val="18"/>
                          <w:szCs w:val="18"/>
                        </w:rPr>
                        <w:t>ted</w:t>
                      </w:r>
                    </w:p>
                    <w:p w14:paraId="57B648B4" w14:textId="77777777" w:rsidR="00F93B0F" w:rsidRPr="00591EF6" w:rsidRDefault="00F93B0F" w:rsidP="00F93B0F">
                      <w:pPr>
                        <w:pStyle w:val="ListParagraph"/>
                        <w:numPr>
                          <w:ilvl w:val="0"/>
                          <w:numId w:val="2"/>
                        </w:numPr>
                        <w:ind w:left="288" w:hanging="144"/>
                        <w:rPr>
                          <w:i/>
                          <w:color w:val="000000" w:themeColor="text1"/>
                          <w:sz w:val="18"/>
                          <w:szCs w:val="18"/>
                        </w:rPr>
                      </w:pPr>
                      <w:r w:rsidRPr="00B77D38">
                        <w:rPr>
                          <w:i/>
                          <w:color w:val="000000" w:themeColor="text1"/>
                          <w:sz w:val="18"/>
                          <w:szCs w:val="18"/>
                        </w:rPr>
                        <w:t>ABI Inform (Business)</w:t>
                      </w:r>
                    </w:p>
                    <w:p w14:paraId="070FFF81" w14:textId="77777777" w:rsidR="00F93B0F" w:rsidRPr="00591EF6" w:rsidRDefault="00F93B0F" w:rsidP="00F93B0F">
                      <w:pPr>
                        <w:pStyle w:val="ListParagraph"/>
                        <w:numPr>
                          <w:ilvl w:val="0"/>
                          <w:numId w:val="2"/>
                        </w:numPr>
                        <w:ind w:left="288" w:hanging="144"/>
                        <w:rPr>
                          <w:i/>
                          <w:color w:val="000000" w:themeColor="text1"/>
                          <w:sz w:val="18"/>
                          <w:szCs w:val="18"/>
                        </w:rPr>
                      </w:pPr>
                      <w:r w:rsidRPr="00591EF6">
                        <w:rPr>
                          <w:i/>
                          <w:color w:val="000000" w:themeColor="text1"/>
                          <w:sz w:val="18"/>
                          <w:szCs w:val="18"/>
                        </w:rPr>
                        <w:t>Academic Search Premier / Business Source Premier</w:t>
                      </w:r>
                    </w:p>
                    <w:p w14:paraId="0BC9B0BD" w14:textId="77777777" w:rsidR="00F93B0F" w:rsidRPr="00591EF6" w:rsidRDefault="00F93B0F" w:rsidP="00F93B0F">
                      <w:pPr>
                        <w:pStyle w:val="ListParagraph"/>
                        <w:numPr>
                          <w:ilvl w:val="0"/>
                          <w:numId w:val="2"/>
                        </w:numPr>
                        <w:ind w:left="288" w:hanging="144"/>
                        <w:rPr>
                          <w:i/>
                          <w:color w:val="000000" w:themeColor="text1"/>
                          <w:sz w:val="18"/>
                          <w:szCs w:val="18"/>
                        </w:rPr>
                      </w:pPr>
                      <w:r w:rsidRPr="00591EF6">
                        <w:rPr>
                          <w:i/>
                          <w:color w:val="000000" w:themeColor="text1"/>
                          <w:sz w:val="18"/>
                          <w:szCs w:val="18"/>
                        </w:rPr>
                        <w:t xml:space="preserve">Academic Complete eBooks </w:t>
                      </w:r>
                    </w:p>
                    <w:p w14:paraId="538DF0F7" w14:textId="77777777" w:rsidR="00F93B0F" w:rsidRPr="00591EF6" w:rsidRDefault="00F93B0F" w:rsidP="00F93B0F">
                      <w:pPr>
                        <w:pStyle w:val="ListParagraph"/>
                        <w:numPr>
                          <w:ilvl w:val="0"/>
                          <w:numId w:val="2"/>
                        </w:numPr>
                        <w:ind w:left="288" w:hanging="144"/>
                        <w:rPr>
                          <w:i/>
                          <w:color w:val="000000" w:themeColor="text1"/>
                          <w:sz w:val="18"/>
                          <w:szCs w:val="18"/>
                        </w:rPr>
                      </w:pPr>
                      <w:r w:rsidRPr="00591EF6">
                        <w:rPr>
                          <w:i/>
                          <w:color w:val="000000" w:themeColor="text1"/>
                          <w:sz w:val="18"/>
                          <w:szCs w:val="18"/>
                        </w:rPr>
                        <w:t>CINAHL Complete (Health)</w:t>
                      </w:r>
                    </w:p>
                    <w:p w14:paraId="07621750" w14:textId="77777777" w:rsidR="00F93B0F" w:rsidRPr="00B77D38" w:rsidRDefault="00F93B0F" w:rsidP="00F93B0F">
                      <w:pPr>
                        <w:pStyle w:val="ListParagraph"/>
                        <w:numPr>
                          <w:ilvl w:val="0"/>
                          <w:numId w:val="2"/>
                        </w:numPr>
                        <w:ind w:left="288" w:hanging="144"/>
                        <w:rPr>
                          <w:i/>
                          <w:color w:val="000000" w:themeColor="text1"/>
                          <w:sz w:val="18"/>
                          <w:szCs w:val="18"/>
                        </w:rPr>
                      </w:pPr>
                      <w:r w:rsidRPr="00B77D38">
                        <w:rPr>
                          <w:i/>
                          <w:color w:val="000000" w:themeColor="text1"/>
                          <w:sz w:val="18"/>
                          <w:szCs w:val="18"/>
                        </w:rPr>
                        <w:t>Communication &amp; Mass Media Complete</w:t>
                      </w:r>
                    </w:p>
                    <w:p w14:paraId="59251AE6" w14:textId="77777777" w:rsidR="00F93B0F" w:rsidRPr="00B77D38" w:rsidRDefault="00F93B0F" w:rsidP="00F93B0F">
                      <w:pPr>
                        <w:pStyle w:val="ListParagraph"/>
                        <w:numPr>
                          <w:ilvl w:val="0"/>
                          <w:numId w:val="2"/>
                        </w:numPr>
                        <w:ind w:left="288" w:hanging="144"/>
                        <w:rPr>
                          <w:i/>
                          <w:color w:val="000000" w:themeColor="text1"/>
                          <w:sz w:val="18"/>
                          <w:szCs w:val="18"/>
                        </w:rPr>
                      </w:pPr>
                      <w:r w:rsidRPr="00B77D38">
                        <w:rPr>
                          <w:i/>
                          <w:color w:val="000000" w:themeColor="text1"/>
                          <w:sz w:val="18"/>
                          <w:szCs w:val="18"/>
                        </w:rPr>
                        <w:t xml:space="preserve">Global </w:t>
                      </w:r>
                      <w:proofErr w:type="spellStart"/>
                      <w:r w:rsidRPr="00B77D38">
                        <w:rPr>
                          <w:i/>
                          <w:color w:val="000000" w:themeColor="text1"/>
                          <w:sz w:val="18"/>
                          <w:szCs w:val="18"/>
                        </w:rPr>
                        <w:t>Newsstream</w:t>
                      </w:r>
                      <w:proofErr w:type="spellEnd"/>
                    </w:p>
                    <w:p w14:paraId="7F85C44A" w14:textId="77777777" w:rsidR="00F93B0F" w:rsidRPr="00B77D38" w:rsidRDefault="00F93B0F" w:rsidP="00F93B0F">
                      <w:pPr>
                        <w:pStyle w:val="ListParagraph"/>
                        <w:numPr>
                          <w:ilvl w:val="0"/>
                          <w:numId w:val="2"/>
                        </w:numPr>
                        <w:ind w:left="288" w:hanging="144"/>
                        <w:rPr>
                          <w:i/>
                          <w:color w:val="000000" w:themeColor="text1"/>
                          <w:sz w:val="18"/>
                          <w:szCs w:val="18"/>
                        </w:rPr>
                      </w:pPr>
                      <w:r w:rsidRPr="00B77D38">
                        <w:rPr>
                          <w:i/>
                          <w:color w:val="000000" w:themeColor="text1"/>
                          <w:sz w:val="18"/>
                          <w:szCs w:val="18"/>
                        </w:rPr>
                        <w:t>JSTOR (13 collections)</w:t>
                      </w:r>
                    </w:p>
                    <w:p w14:paraId="49C849D0" w14:textId="77777777" w:rsidR="00F93B0F" w:rsidRPr="00591EF6" w:rsidRDefault="00F93B0F" w:rsidP="00F93B0F">
                      <w:pPr>
                        <w:pStyle w:val="ListParagraph"/>
                        <w:numPr>
                          <w:ilvl w:val="0"/>
                          <w:numId w:val="2"/>
                        </w:numPr>
                        <w:ind w:left="288" w:hanging="144"/>
                        <w:rPr>
                          <w:i/>
                          <w:color w:val="000000" w:themeColor="text1"/>
                          <w:sz w:val="18"/>
                          <w:szCs w:val="18"/>
                        </w:rPr>
                      </w:pPr>
                      <w:proofErr w:type="spellStart"/>
                      <w:r w:rsidRPr="00B77D38">
                        <w:rPr>
                          <w:i/>
                          <w:color w:val="000000" w:themeColor="text1"/>
                          <w:sz w:val="18"/>
                          <w:szCs w:val="18"/>
                        </w:rPr>
                        <w:t>PsycArticles</w:t>
                      </w:r>
                      <w:proofErr w:type="spellEnd"/>
                    </w:p>
                    <w:p w14:paraId="23C47F04" w14:textId="77777777" w:rsidR="00F93B0F" w:rsidRDefault="00F93B0F" w:rsidP="00F93B0F">
                      <w:pPr>
                        <w:pStyle w:val="ListParagraph"/>
                        <w:numPr>
                          <w:ilvl w:val="0"/>
                          <w:numId w:val="2"/>
                        </w:numPr>
                        <w:ind w:left="288" w:hanging="144"/>
                        <w:rPr>
                          <w:i/>
                          <w:color w:val="000000" w:themeColor="text1"/>
                          <w:sz w:val="18"/>
                          <w:szCs w:val="18"/>
                        </w:rPr>
                      </w:pPr>
                      <w:proofErr w:type="spellStart"/>
                      <w:r>
                        <w:rPr>
                          <w:i/>
                          <w:color w:val="000000" w:themeColor="text1"/>
                          <w:sz w:val="18"/>
                          <w:szCs w:val="18"/>
                        </w:rPr>
                        <w:t>PsycInfo</w:t>
                      </w:r>
                      <w:proofErr w:type="spellEnd"/>
                    </w:p>
                    <w:p w14:paraId="444976BF" w14:textId="77777777" w:rsidR="00F93B0F" w:rsidRPr="00591EF6" w:rsidRDefault="00F93B0F" w:rsidP="00F93B0F">
                      <w:pPr>
                        <w:pStyle w:val="ListParagraph"/>
                        <w:numPr>
                          <w:ilvl w:val="0"/>
                          <w:numId w:val="2"/>
                        </w:numPr>
                        <w:ind w:left="288" w:hanging="144"/>
                        <w:rPr>
                          <w:i/>
                          <w:color w:val="000000" w:themeColor="text1"/>
                          <w:sz w:val="18"/>
                          <w:szCs w:val="18"/>
                        </w:rPr>
                      </w:pPr>
                      <w:r w:rsidRPr="00591EF6">
                        <w:rPr>
                          <w:i/>
                          <w:color w:val="000000" w:themeColor="text1"/>
                          <w:sz w:val="18"/>
                          <w:szCs w:val="18"/>
                        </w:rPr>
                        <w:t>Sociological / Social Services Abs.</w:t>
                      </w:r>
                    </w:p>
                    <w:p w14:paraId="515D635D" w14:textId="77777777" w:rsidR="00F93B0F" w:rsidRPr="002643D9" w:rsidRDefault="00F93B0F" w:rsidP="00F93B0F">
                      <w:pPr>
                        <w:rPr>
                          <w:color w:val="000000" w:themeColor="text1"/>
                          <w:sz w:val="18"/>
                          <w:szCs w:val="18"/>
                        </w:rPr>
                      </w:pPr>
                    </w:p>
                  </w:txbxContent>
                </v:textbox>
                <w10:wrap type="square" anchorx="margin" anchory="margin"/>
              </v:shape>
            </w:pict>
          </mc:Fallback>
        </mc:AlternateContent>
      </w:r>
      <w:r w:rsidR="0094290E">
        <w:rPr>
          <w:sz w:val="22"/>
          <w:szCs w:val="22"/>
        </w:rPr>
        <w:t xml:space="preserve">The </w:t>
      </w:r>
      <w:hyperlink r:id="rId11" w:history="1">
        <w:r w:rsidR="0094290E" w:rsidRPr="00E4759F">
          <w:rPr>
            <w:rStyle w:val="Hyperlink"/>
            <w:sz w:val="22"/>
            <w:szCs w:val="22"/>
          </w:rPr>
          <w:t>Electronic Core Collection (ECC)</w:t>
        </w:r>
      </w:hyperlink>
      <w:r w:rsidR="0094290E">
        <w:rPr>
          <w:sz w:val="22"/>
          <w:szCs w:val="22"/>
        </w:rPr>
        <w:t xml:space="preserve"> </w:t>
      </w:r>
      <w:r w:rsidR="00002E57">
        <w:rPr>
          <w:sz w:val="22"/>
          <w:szCs w:val="22"/>
        </w:rPr>
        <w:t xml:space="preserve">was established </w:t>
      </w:r>
      <w:r w:rsidR="00361F2C">
        <w:rPr>
          <w:sz w:val="22"/>
          <w:szCs w:val="22"/>
        </w:rPr>
        <w:t>in 1999</w:t>
      </w:r>
      <w:r w:rsidR="00002E57">
        <w:rPr>
          <w:sz w:val="22"/>
          <w:szCs w:val="22"/>
        </w:rPr>
        <w:t xml:space="preserve"> to leverage the </w:t>
      </w:r>
      <w:r w:rsidR="00BF5BBA">
        <w:rPr>
          <w:sz w:val="22"/>
          <w:szCs w:val="22"/>
        </w:rPr>
        <w:t xml:space="preserve">CSU’s </w:t>
      </w:r>
      <w:proofErr w:type="spellStart"/>
      <w:r w:rsidR="00002E57">
        <w:rPr>
          <w:sz w:val="22"/>
          <w:szCs w:val="22"/>
        </w:rPr>
        <w:t>consortial</w:t>
      </w:r>
      <w:proofErr w:type="spellEnd"/>
      <w:r w:rsidR="00002E57">
        <w:rPr>
          <w:sz w:val="22"/>
          <w:szCs w:val="22"/>
        </w:rPr>
        <w:t xml:space="preserve"> </w:t>
      </w:r>
      <w:r w:rsidR="00603B0C">
        <w:rPr>
          <w:sz w:val="22"/>
          <w:szCs w:val="22"/>
        </w:rPr>
        <w:t>buying</w:t>
      </w:r>
      <w:r w:rsidR="00002E57">
        <w:rPr>
          <w:sz w:val="22"/>
          <w:szCs w:val="22"/>
        </w:rPr>
        <w:t xml:space="preserve"> power </w:t>
      </w:r>
      <w:r w:rsidR="006F3F01">
        <w:rPr>
          <w:sz w:val="22"/>
          <w:szCs w:val="22"/>
        </w:rPr>
        <w:t>and</w:t>
      </w:r>
      <w:r w:rsidR="00002E57">
        <w:rPr>
          <w:sz w:val="22"/>
          <w:szCs w:val="22"/>
        </w:rPr>
        <w:t xml:space="preserve"> provide equal access for all CSU students to a core set of resources. It </w:t>
      </w:r>
      <w:r w:rsidR="00361F2C">
        <w:rPr>
          <w:sz w:val="22"/>
          <w:szCs w:val="22"/>
        </w:rPr>
        <w:t xml:space="preserve">currently </w:t>
      </w:r>
      <w:r w:rsidR="0094290E">
        <w:rPr>
          <w:sz w:val="22"/>
          <w:szCs w:val="22"/>
        </w:rPr>
        <w:t xml:space="preserve">contains </w:t>
      </w:r>
      <w:r w:rsidR="0094290E" w:rsidRPr="001A0A34">
        <w:rPr>
          <w:sz w:val="22"/>
          <w:szCs w:val="22"/>
        </w:rPr>
        <w:t>2</w:t>
      </w:r>
      <w:r w:rsidR="007F18EF">
        <w:rPr>
          <w:sz w:val="22"/>
          <w:szCs w:val="22"/>
        </w:rPr>
        <w:t>6</w:t>
      </w:r>
      <w:r w:rsidR="00D043B6" w:rsidRPr="00D043B6">
        <w:rPr>
          <w:sz w:val="22"/>
          <w:szCs w:val="22"/>
          <w:vertAlign w:val="superscript"/>
        </w:rPr>
        <w:t>a</w:t>
      </w:r>
      <w:r w:rsidR="0094290E" w:rsidRPr="001A0A34">
        <w:rPr>
          <w:sz w:val="22"/>
          <w:szCs w:val="22"/>
        </w:rPr>
        <w:t xml:space="preserve"> </w:t>
      </w:r>
      <w:r w:rsidR="006F3F01" w:rsidRPr="001A0A34">
        <w:rPr>
          <w:sz w:val="22"/>
          <w:szCs w:val="22"/>
        </w:rPr>
        <w:t>resources</w:t>
      </w:r>
      <w:r w:rsidR="00C37074">
        <w:rPr>
          <w:sz w:val="22"/>
          <w:szCs w:val="22"/>
        </w:rPr>
        <w:t>,</w:t>
      </w:r>
      <w:r w:rsidR="0094290E">
        <w:rPr>
          <w:sz w:val="22"/>
          <w:szCs w:val="22"/>
        </w:rPr>
        <w:t xml:space="preserve"> and costs about</w:t>
      </w:r>
      <w:r w:rsidR="001A33C4">
        <w:rPr>
          <w:sz w:val="22"/>
          <w:szCs w:val="22"/>
        </w:rPr>
        <w:t xml:space="preserve"> $5.5 million/year. All but five</w:t>
      </w:r>
      <w:r w:rsidR="0094290E">
        <w:rPr>
          <w:sz w:val="22"/>
          <w:szCs w:val="22"/>
        </w:rPr>
        <w:t xml:space="preserve"> </w:t>
      </w:r>
      <w:r w:rsidR="002A43C9">
        <w:rPr>
          <w:sz w:val="22"/>
          <w:szCs w:val="22"/>
        </w:rPr>
        <w:t>resources provide</w:t>
      </w:r>
      <w:r w:rsidR="0094290E">
        <w:rPr>
          <w:sz w:val="22"/>
          <w:szCs w:val="22"/>
        </w:rPr>
        <w:t xml:space="preserve"> full text. </w:t>
      </w:r>
      <w:r w:rsidR="006F3F01">
        <w:rPr>
          <w:sz w:val="22"/>
          <w:szCs w:val="22"/>
        </w:rPr>
        <w:t xml:space="preserve">In response to budget pressures, </w:t>
      </w:r>
      <w:r w:rsidR="00D10585">
        <w:rPr>
          <w:sz w:val="22"/>
          <w:szCs w:val="22"/>
        </w:rPr>
        <w:t>COLD’s Electronic R</w:t>
      </w:r>
      <w:r w:rsidR="00D10585" w:rsidRPr="00D10585">
        <w:rPr>
          <w:sz w:val="22"/>
          <w:szCs w:val="22"/>
        </w:rPr>
        <w:t xml:space="preserve">esources committee (EAR) conducted a two-part evaluation of the </w:t>
      </w:r>
      <w:r w:rsidR="0051496E">
        <w:rPr>
          <w:sz w:val="21"/>
          <w:szCs w:val="21"/>
        </w:rPr>
        <w:t>ECC</w:t>
      </w:r>
      <w:r w:rsidR="00D10585" w:rsidRPr="00D10585">
        <w:rPr>
          <w:sz w:val="22"/>
          <w:szCs w:val="22"/>
        </w:rPr>
        <w:t xml:space="preserve">: 1) A 2018 multi-campus survey of perceived importance and 2) </w:t>
      </w:r>
      <w:r w:rsidR="00BF5BBA">
        <w:rPr>
          <w:sz w:val="22"/>
          <w:szCs w:val="22"/>
        </w:rPr>
        <w:t>An</w:t>
      </w:r>
      <w:r w:rsidR="00D10585" w:rsidRPr="00D10585">
        <w:rPr>
          <w:sz w:val="22"/>
          <w:szCs w:val="22"/>
        </w:rPr>
        <w:t xml:space="preserve"> </w:t>
      </w:r>
      <w:r w:rsidR="002643D9">
        <w:rPr>
          <w:sz w:val="22"/>
          <w:szCs w:val="22"/>
        </w:rPr>
        <w:t>in-depth</w:t>
      </w:r>
      <w:r w:rsidR="00B77D38">
        <w:rPr>
          <w:sz w:val="22"/>
          <w:szCs w:val="22"/>
        </w:rPr>
        <w:t>,</w:t>
      </w:r>
      <w:r w:rsidR="002643D9">
        <w:rPr>
          <w:sz w:val="22"/>
          <w:szCs w:val="22"/>
        </w:rPr>
        <w:t xml:space="preserve"> </w:t>
      </w:r>
      <w:r w:rsidR="008E28A7">
        <w:rPr>
          <w:sz w:val="22"/>
          <w:szCs w:val="22"/>
        </w:rPr>
        <w:t xml:space="preserve">multi-year </w:t>
      </w:r>
      <w:r w:rsidR="00BF5BBA">
        <w:rPr>
          <w:sz w:val="22"/>
          <w:szCs w:val="22"/>
        </w:rPr>
        <w:t xml:space="preserve">usage </w:t>
      </w:r>
      <w:proofErr w:type="spellStart"/>
      <w:r w:rsidR="0051496E">
        <w:rPr>
          <w:sz w:val="22"/>
          <w:szCs w:val="22"/>
        </w:rPr>
        <w:t>analysis</w:t>
      </w:r>
      <w:r w:rsidR="00D10585" w:rsidRPr="00D10585">
        <w:rPr>
          <w:sz w:val="22"/>
          <w:szCs w:val="22"/>
        </w:rPr>
        <w:t>.</w:t>
      </w:r>
      <w:r w:rsidR="007B0759">
        <w:rPr>
          <w:rStyle w:val="FootnoteReference"/>
          <w:sz w:val="22"/>
          <w:szCs w:val="22"/>
        </w:rPr>
        <w:t>b</w:t>
      </w:r>
      <w:proofErr w:type="spellEnd"/>
      <w:r w:rsidR="00D10585" w:rsidRPr="00D10585">
        <w:rPr>
          <w:sz w:val="22"/>
          <w:szCs w:val="22"/>
        </w:rPr>
        <w:t xml:space="preserve"> </w:t>
      </w:r>
      <w:r w:rsidR="00B77D38">
        <w:rPr>
          <w:sz w:val="22"/>
          <w:szCs w:val="22"/>
        </w:rPr>
        <w:t xml:space="preserve">The usage analysis was done by EAR member Tracy Gilmore (Long Beach) on a consultancy basis and reviewed by an EAR subcommittee. In </w:t>
      </w:r>
      <w:r w:rsidR="0037048A">
        <w:rPr>
          <w:sz w:val="22"/>
          <w:szCs w:val="22"/>
        </w:rPr>
        <w:t xml:space="preserve">addition, </w:t>
      </w:r>
      <w:r w:rsidR="00B77D38">
        <w:rPr>
          <w:sz w:val="22"/>
          <w:szCs w:val="22"/>
        </w:rPr>
        <w:t xml:space="preserve">Tracy created </w:t>
      </w:r>
      <w:r w:rsidR="0037048A">
        <w:rPr>
          <w:sz w:val="22"/>
          <w:szCs w:val="22"/>
        </w:rPr>
        <w:t>templates</w:t>
      </w:r>
      <w:r w:rsidR="00B77D38">
        <w:rPr>
          <w:sz w:val="22"/>
          <w:szCs w:val="22"/>
        </w:rPr>
        <w:t xml:space="preserve"> </w:t>
      </w:r>
      <w:r w:rsidR="0037048A">
        <w:rPr>
          <w:sz w:val="22"/>
          <w:szCs w:val="22"/>
        </w:rPr>
        <w:t xml:space="preserve">to </w:t>
      </w:r>
      <w:r w:rsidR="00AD0AFD">
        <w:rPr>
          <w:sz w:val="22"/>
          <w:szCs w:val="22"/>
        </w:rPr>
        <w:t>facilitate</w:t>
      </w:r>
      <w:r w:rsidR="0037048A">
        <w:rPr>
          <w:sz w:val="22"/>
          <w:szCs w:val="22"/>
        </w:rPr>
        <w:t xml:space="preserve"> </w:t>
      </w:r>
      <w:r w:rsidR="00361F2C">
        <w:rPr>
          <w:sz w:val="22"/>
          <w:szCs w:val="22"/>
        </w:rPr>
        <w:t xml:space="preserve">similar, annual </w:t>
      </w:r>
      <w:r w:rsidR="00B04E0F">
        <w:rPr>
          <w:sz w:val="22"/>
          <w:szCs w:val="22"/>
        </w:rPr>
        <w:t>analyse</w:t>
      </w:r>
      <w:r w:rsidR="0037048A">
        <w:rPr>
          <w:sz w:val="22"/>
          <w:szCs w:val="22"/>
        </w:rPr>
        <w:t>s</w:t>
      </w:r>
      <w:r w:rsidR="00361F2C">
        <w:rPr>
          <w:sz w:val="22"/>
          <w:szCs w:val="22"/>
        </w:rPr>
        <w:t xml:space="preserve"> in the future</w:t>
      </w:r>
      <w:r w:rsidR="0037048A">
        <w:rPr>
          <w:sz w:val="22"/>
          <w:szCs w:val="22"/>
        </w:rPr>
        <w:t>.</w:t>
      </w:r>
    </w:p>
    <w:p w14:paraId="007518C7" w14:textId="15C34767" w:rsidR="0043776C" w:rsidRDefault="0043776C">
      <w:pPr>
        <w:rPr>
          <w:sz w:val="22"/>
          <w:szCs w:val="22"/>
        </w:rPr>
      </w:pPr>
    </w:p>
    <w:p w14:paraId="4CE8867C" w14:textId="263C9D27" w:rsidR="008A2459" w:rsidRPr="0043776C" w:rsidRDefault="0043776C" w:rsidP="00B04E0F">
      <w:pPr>
        <w:outlineLvl w:val="0"/>
        <w:rPr>
          <w:b/>
          <w:sz w:val="22"/>
          <w:szCs w:val="22"/>
          <w:u w:val="single"/>
        </w:rPr>
      </w:pPr>
      <w:r w:rsidRPr="0043776C">
        <w:rPr>
          <w:b/>
          <w:sz w:val="22"/>
          <w:szCs w:val="22"/>
          <w:u w:val="single"/>
        </w:rPr>
        <w:t>Results</w:t>
      </w:r>
    </w:p>
    <w:p w14:paraId="339756CF" w14:textId="2CFD2BA0" w:rsidR="003464D5" w:rsidRDefault="6596741D" w:rsidP="00E76E36">
      <w:pPr>
        <w:rPr>
          <w:sz w:val="22"/>
          <w:szCs w:val="22"/>
          <w:vertAlign w:val="superscript"/>
        </w:rPr>
      </w:pPr>
      <w:r w:rsidRPr="6596741D">
        <w:rPr>
          <w:sz w:val="22"/>
          <w:szCs w:val="22"/>
        </w:rPr>
        <w:t xml:space="preserve">Table 1 lists the 10 resources that were both highly </w:t>
      </w:r>
      <w:proofErr w:type="spellStart"/>
      <w:r w:rsidRPr="6596741D">
        <w:rPr>
          <w:sz w:val="22"/>
          <w:szCs w:val="22"/>
        </w:rPr>
        <w:t>rated</w:t>
      </w:r>
      <w:r w:rsidRPr="6596741D">
        <w:rPr>
          <w:rStyle w:val="FootnoteReference"/>
          <w:sz w:val="22"/>
          <w:szCs w:val="22"/>
        </w:rPr>
        <w:t>c</w:t>
      </w:r>
      <w:proofErr w:type="spellEnd"/>
      <w:r w:rsidRPr="6596741D">
        <w:rPr>
          <w:sz w:val="22"/>
          <w:szCs w:val="22"/>
        </w:rPr>
        <w:t xml:space="preserve"> in the survey and have broad use across </w:t>
      </w:r>
      <w:proofErr w:type="spellStart"/>
      <w:proofErr w:type="gramStart"/>
      <w:r w:rsidRPr="6596741D">
        <w:rPr>
          <w:sz w:val="22"/>
          <w:szCs w:val="22"/>
        </w:rPr>
        <w:t>campuses.</w:t>
      </w:r>
      <w:r w:rsidRPr="6596741D">
        <w:rPr>
          <w:sz w:val="22"/>
          <w:szCs w:val="22"/>
          <w:vertAlign w:val="superscript"/>
        </w:rPr>
        <w:t>d</w:t>
      </w:r>
      <w:proofErr w:type="spellEnd"/>
      <w:proofErr w:type="gramEnd"/>
      <w:r w:rsidRPr="6596741D">
        <w:rPr>
          <w:sz w:val="22"/>
          <w:szCs w:val="22"/>
        </w:rPr>
        <w:t xml:space="preserve">  They cost approximately $3.7 million in 2018-2019 and represent 78% of the total downloads and 55% of the total searches. </w:t>
      </w:r>
      <w:r w:rsidRPr="6596741D">
        <w:rPr>
          <w:i/>
          <w:iCs/>
          <w:sz w:val="22"/>
          <w:szCs w:val="22"/>
        </w:rPr>
        <w:t>MLA</w:t>
      </w:r>
      <w:r w:rsidRPr="6596741D">
        <w:rPr>
          <w:sz w:val="22"/>
          <w:szCs w:val="22"/>
        </w:rPr>
        <w:t xml:space="preserve"> (humanities) and </w:t>
      </w:r>
      <w:r w:rsidRPr="6596741D">
        <w:rPr>
          <w:i/>
          <w:iCs/>
          <w:sz w:val="22"/>
          <w:szCs w:val="22"/>
        </w:rPr>
        <w:t>Safari</w:t>
      </w:r>
      <w:r w:rsidRPr="6596741D">
        <w:rPr>
          <w:sz w:val="22"/>
          <w:szCs w:val="22"/>
        </w:rPr>
        <w:t xml:space="preserve"> (tech e-books), costing $380,000, were also highly rated, but the distribution of usage across campuses was more </w:t>
      </w:r>
      <w:proofErr w:type="spellStart"/>
      <w:proofErr w:type="gramStart"/>
      <w:r w:rsidRPr="6596741D">
        <w:rPr>
          <w:sz w:val="22"/>
          <w:szCs w:val="22"/>
        </w:rPr>
        <w:t>uneven.</w:t>
      </w:r>
      <w:r w:rsidRPr="6596741D">
        <w:rPr>
          <w:sz w:val="22"/>
          <w:szCs w:val="22"/>
          <w:vertAlign w:val="superscript"/>
        </w:rPr>
        <w:t>e</w:t>
      </w:r>
      <w:proofErr w:type="spellEnd"/>
      <w:proofErr w:type="gramEnd"/>
    </w:p>
    <w:p w14:paraId="5D6D1CEA" w14:textId="336C34E7" w:rsidR="6596741D" w:rsidRDefault="6596741D" w:rsidP="6596741D">
      <w:pPr>
        <w:rPr>
          <w:sz w:val="22"/>
          <w:szCs w:val="22"/>
        </w:rPr>
      </w:pPr>
    </w:p>
    <w:p w14:paraId="62673CB3" w14:textId="1E067677" w:rsidR="0043776C" w:rsidRDefault="0381C8B4" w:rsidP="6596741D">
      <w:pPr>
        <w:rPr>
          <w:sz w:val="22"/>
          <w:szCs w:val="22"/>
        </w:rPr>
      </w:pPr>
      <w:r w:rsidRPr="0381C8B4">
        <w:rPr>
          <w:sz w:val="22"/>
          <w:szCs w:val="22"/>
        </w:rPr>
        <w:t xml:space="preserve">In total, patrons viewed or downloaded more than 9 million articles and other items on average annually in the 21 full-text databases, and there were more than 10 million searches in the remaining five databases. Overall, the median, three-year cost/use for full-text resources ranges from $0.08 for </w:t>
      </w:r>
      <w:r w:rsidRPr="0381C8B4">
        <w:rPr>
          <w:i/>
          <w:iCs/>
          <w:sz w:val="22"/>
          <w:szCs w:val="22"/>
        </w:rPr>
        <w:t>ABI Inform</w:t>
      </w:r>
      <w:r w:rsidRPr="0381C8B4">
        <w:rPr>
          <w:sz w:val="22"/>
          <w:szCs w:val="22"/>
        </w:rPr>
        <w:t xml:space="preserve"> to $3.46 for </w:t>
      </w:r>
      <w:proofErr w:type="spellStart"/>
      <w:r w:rsidRPr="0381C8B4">
        <w:rPr>
          <w:i/>
          <w:iCs/>
          <w:sz w:val="22"/>
          <w:szCs w:val="22"/>
        </w:rPr>
        <w:t>Mergent</w:t>
      </w:r>
      <w:proofErr w:type="spellEnd"/>
      <w:r w:rsidRPr="0381C8B4">
        <w:rPr>
          <w:sz w:val="22"/>
          <w:szCs w:val="22"/>
        </w:rPr>
        <w:t xml:space="preserve">, both business </w:t>
      </w:r>
      <w:proofErr w:type="spellStart"/>
      <w:proofErr w:type="gramStart"/>
      <w:r w:rsidRPr="0381C8B4">
        <w:rPr>
          <w:sz w:val="22"/>
          <w:szCs w:val="22"/>
        </w:rPr>
        <w:t>databases.</w:t>
      </w:r>
      <w:r w:rsidRPr="0381C8B4">
        <w:rPr>
          <w:sz w:val="22"/>
          <w:szCs w:val="22"/>
          <w:vertAlign w:val="superscript"/>
        </w:rPr>
        <w:t>f</w:t>
      </w:r>
      <w:proofErr w:type="spellEnd"/>
      <w:proofErr w:type="gramEnd"/>
      <w:r w:rsidRPr="0381C8B4">
        <w:rPr>
          <w:sz w:val="22"/>
          <w:szCs w:val="22"/>
          <w:vertAlign w:val="superscript"/>
        </w:rPr>
        <w:t xml:space="preserve"> </w:t>
      </w:r>
      <w:r w:rsidRPr="0381C8B4">
        <w:rPr>
          <w:sz w:val="22"/>
          <w:szCs w:val="22"/>
        </w:rPr>
        <w:t xml:space="preserve">For resources that are not full-text, the median three-year cost/search ranged from $0.05 for </w:t>
      </w:r>
      <w:proofErr w:type="spellStart"/>
      <w:r w:rsidRPr="0381C8B4">
        <w:rPr>
          <w:i/>
          <w:iCs/>
          <w:sz w:val="22"/>
          <w:szCs w:val="22"/>
        </w:rPr>
        <w:t>PsycInfo</w:t>
      </w:r>
      <w:proofErr w:type="spellEnd"/>
      <w:r w:rsidRPr="0381C8B4">
        <w:rPr>
          <w:i/>
          <w:iCs/>
          <w:sz w:val="22"/>
          <w:szCs w:val="22"/>
        </w:rPr>
        <w:t xml:space="preserve"> </w:t>
      </w:r>
      <w:r w:rsidRPr="0381C8B4">
        <w:rPr>
          <w:sz w:val="22"/>
          <w:szCs w:val="22"/>
        </w:rPr>
        <w:t xml:space="preserve">to $0.42 for </w:t>
      </w:r>
      <w:r w:rsidRPr="0381C8B4">
        <w:rPr>
          <w:i/>
          <w:iCs/>
          <w:sz w:val="22"/>
          <w:szCs w:val="22"/>
        </w:rPr>
        <w:t>MLA International Bibliography</w:t>
      </w:r>
      <w:r w:rsidRPr="0381C8B4">
        <w:rPr>
          <w:sz w:val="22"/>
          <w:szCs w:val="22"/>
        </w:rPr>
        <w:t>.</w:t>
      </w:r>
    </w:p>
    <w:p w14:paraId="64F0A2F3" w14:textId="53CCEABC" w:rsidR="1B42BC8D" w:rsidRDefault="1B42BC8D" w:rsidP="1B42BC8D">
      <w:pPr>
        <w:ind w:firstLine="720"/>
        <w:rPr>
          <w:sz w:val="22"/>
          <w:szCs w:val="22"/>
        </w:rPr>
      </w:pPr>
    </w:p>
    <w:p w14:paraId="05968D85" w14:textId="2CB84FD8" w:rsidR="1B42BC8D" w:rsidRDefault="0381C8B4" w:rsidP="1B42BC8D">
      <w:pPr>
        <w:rPr>
          <w:sz w:val="22"/>
          <w:szCs w:val="22"/>
        </w:rPr>
      </w:pPr>
      <w:r w:rsidRPr="0381C8B4">
        <w:rPr>
          <w:sz w:val="22"/>
          <w:szCs w:val="22"/>
        </w:rPr>
        <w:t xml:space="preserve">The most used full-text resource, which also is the most expensive, is a multi-disciplinary, four-database EBSCO package that we refer to as </w:t>
      </w:r>
      <w:r w:rsidRPr="0381C8B4">
        <w:rPr>
          <w:i/>
          <w:iCs/>
          <w:sz w:val="22"/>
          <w:szCs w:val="22"/>
        </w:rPr>
        <w:t>Academic Search Premier / Business Source Premier (ASP/BSP)</w:t>
      </w:r>
      <w:r w:rsidRPr="0381C8B4">
        <w:rPr>
          <w:sz w:val="22"/>
          <w:szCs w:val="22"/>
        </w:rPr>
        <w:t>. Nine campuses augment this package with a mixture of upgrades, so it is very complex to evaluate. It costs about $1 million, accounts for an annual average of 3.5 million full-text downloads, and 20 campuses rated it as “Essential.” While its median cost-per-download of $0.28</w:t>
      </w:r>
      <w:r w:rsidRPr="0381C8B4">
        <w:rPr>
          <w:sz w:val="22"/>
          <w:szCs w:val="22"/>
          <w:vertAlign w:val="superscript"/>
        </w:rPr>
        <w:t xml:space="preserve"> </w:t>
      </w:r>
      <w:r w:rsidRPr="0381C8B4">
        <w:rPr>
          <w:sz w:val="22"/>
          <w:szCs w:val="22"/>
        </w:rPr>
        <w:t xml:space="preserve">indicates a good return on </w:t>
      </w:r>
      <w:proofErr w:type="spellStart"/>
      <w:proofErr w:type="gramStart"/>
      <w:r w:rsidRPr="0381C8B4">
        <w:rPr>
          <w:sz w:val="22"/>
          <w:szCs w:val="22"/>
        </w:rPr>
        <w:t>investment,</w:t>
      </w:r>
      <w:r w:rsidRPr="0381C8B4">
        <w:rPr>
          <w:sz w:val="22"/>
          <w:szCs w:val="22"/>
          <w:vertAlign w:val="superscript"/>
        </w:rPr>
        <w:t>g</w:t>
      </w:r>
      <w:proofErr w:type="spellEnd"/>
      <w:proofErr w:type="gramEnd"/>
      <w:r w:rsidRPr="0381C8B4">
        <w:rPr>
          <w:sz w:val="22"/>
          <w:szCs w:val="22"/>
        </w:rPr>
        <w:t xml:space="preserve">  we believed it merited extra analysis to learn the relative value of its various components. We could not completely evaluate each of the components to the level desired, however, because EBSCO does not provide complete title-level data. While EBSCO considers </w:t>
      </w:r>
      <w:r w:rsidRPr="0381C8B4">
        <w:rPr>
          <w:i/>
          <w:iCs/>
          <w:sz w:val="22"/>
          <w:szCs w:val="22"/>
        </w:rPr>
        <w:t xml:space="preserve">Business Source Premier </w:t>
      </w:r>
      <w:r w:rsidRPr="0381C8B4">
        <w:rPr>
          <w:sz w:val="22"/>
          <w:szCs w:val="22"/>
        </w:rPr>
        <w:t xml:space="preserve">to be “complementary,” it is possible to mix and match the four component databases with varying price points. Usage of the four databases is not evenly distributed: </w:t>
      </w:r>
      <w:r w:rsidRPr="0381C8B4">
        <w:rPr>
          <w:rFonts w:ascii="Calibri" w:eastAsia="Calibri" w:hAnsi="Calibri" w:cs="Calibri"/>
          <w:sz w:val="22"/>
          <w:szCs w:val="22"/>
        </w:rPr>
        <w:t xml:space="preserve">59% of the total usage that the ECC pays for comes from titles unique to the lowest tier database, </w:t>
      </w:r>
      <w:r w:rsidRPr="0381C8B4">
        <w:rPr>
          <w:rFonts w:ascii="Calibri" w:eastAsia="Calibri" w:hAnsi="Calibri" w:cs="Calibri"/>
          <w:i/>
          <w:iCs/>
          <w:sz w:val="22"/>
          <w:szCs w:val="22"/>
        </w:rPr>
        <w:t>Academic Search Elite</w:t>
      </w:r>
      <w:r w:rsidRPr="0381C8B4">
        <w:rPr>
          <w:rFonts w:ascii="Calibri" w:eastAsia="Calibri" w:hAnsi="Calibri" w:cs="Calibri"/>
          <w:sz w:val="22"/>
          <w:szCs w:val="22"/>
        </w:rPr>
        <w:t xml:space="preserve">, 25% from titles unique to </w:t>
      </w:r>
      <w:r w:rsidRPr="0381C8B4">
        <w:rPr>
          <w:rFonts w:ascii="Calibri" w:eastAsia="Calibri" w:hAnsi="Calibri" w:cs="Calibri"/>
          <w:i/>
          <w:iCs/>
          <w:sz w:val="22"/>
          <w:szCs w:val="22"/>
        </w:rPr>
        <w:t>Academic Search Premier</w:t>
      </w:r>
      <w:r w:rsidRPr="0381C8B4">
        <w:rPr>
          <w:rFonts w:ascii="Calibri" w:eastAsia="Calibri" w:hAnsi="Calibri" w:cs="Calibri"/>
          <w:sz w:val="22"/>
          <w:szCs w:val="22"/>
        </w:rPr>
        <w:t xml:space="preserve">, 12% from </w:t>
      </w:r>
      <w:r w:rsidRPr="0381C8B4">
        <w:rPr>
          <w:rFonts w:ascii="Calibri" w:eastAsia="Calibri" w:hAnsi="Calibri" w:cs="Calibri"/>
          <w:i/>
          <w:iCs/>
          <w:sz w:val="22"/>
          <w:szCs w:val="22"/>
        </w:rPr>
        <w:t>Business Source Elite</w:t>
      </w:r>
      <w:r w:rsidRPr="0381C8B4">
        <w:rPr>
          <w:rFonts w:ascii="Calibri" w:eastAsia="Calibri" w:hAnsi="Calibri" w:cs="Calibri"/>
          <w:sz w:val="22"/>
          <w:szCs w:val="22"/>
        </w:rPr>
        <w:t xml:space="preserve">, and 4% from </w:t>
      </w:r>
      <w:r w:rsidRPr="0381C8B4">
        <w:rPr>
          <w:rFonts w:ascii="Calibri" w:eastAsia="Calibri" w:hAnsi="Calibri" w:cs="Calibri"/>
          <w:i/>
          <w:iCs/>
          <w:sz w:val="22"/>
          <w:szCs w:val="22"/>
        </w:rPr>
        <w:t>Business Source Premier</w:t>
      </w:r>
      <w:r w:rsidRPr="0381C8B4">
        <w:rPr>
          <w:rFonts w:ascii="Calibri" w:eastAsia="Calibri" w:hAnsi="Calibri" w:cs="Calibri"/>
          <w:sz w:val="22"/>
          <w:szCs w:val="22"/>
        </w:rPr>
        <w:t>.</w:t>
      </w:r>
      <w:r w:rsidRPr="0381C8B4">
        <w:rPr>
          <w:sz w:val="22"/>
          <w:szCs w:val="22"/>
          <w:vertAlign w:val="superscript"/>
        </w:rPr>
        <w:t xml:space="preserve"> h</w:t>
      </w:r>
    </w:p>
    <w:p w14:paraId="6A52FF58" w14:textId="77777777" w:rsidR="008E0124" w:rsidRDefault="008229CF" w:rsidP="00E76E36">
      <w:pPr>
        <w:rPr>
          <w:sz w:val="22"/>
          <w:szCs w:val="22"/>
        </w:rPr>
      </w:pPr>
      <w:r>
        <w:rPr>
          <w:sz w:val="22"/>
          <w:szCs w:val="22"/>
        </w:rPr>
        <w:t xml:space="preserve"> </w:t>
      </w:r>
      <w:r w:rsidR="006B0DE8">
        <w:rPr>
          <w:sz w:val="22"/>
          <w:szCs w:val="22"/>
        </w:rPr>
        <w:t xml:space="preserve"> </w:t>
      </w:r>
      <w:r w:rsidR="00E10DBD">
        <w:rPr>
          <w:sz w:val="22"/>
          <w:szCs w:val="22"/>
        </w:rPr>
        <w:t xml:space="preserve"> </w:t>
      </w:r>
    </w:p>
    <w:p w14:paraId="0177817F" w14:textId="60A0367B" w:rsidR="00591EF6" w:rsidRDefault="0381C8B4" w:rsidP="105106C5">
      <w:pPr>
        <w:rPr>
          <w:sz w:val="22"/>
          <w:szCs w:val="22"/>
        </w:rPr>
      </w:pPr>
      <w:proofErr w:type="gramStart"/>
      <w:r w:rsidRPr="0381C8B4">
        <w:rPr>
          <w:sz w:val="22"/>
          <w:szCs w:val="22"/>
        </w:rPr>
        <w:t>Also</w:t>
      </w:r>
      <w:proofErr w:type="gramEnd"/>
      <w:r w:rsidRPr="0381C8B4">
        <w:rPr>
          <w:sz w:val="22"/>
          <w:szCs w:val="22"/>
        </w:rPr>
        <w:t xml:space="preserve"> of note,</w:t>
      </w:r>
      <w:r w:rsidRPr="0381C8B4">
        <w:rPr>
          <w:i/>
          <w:iCs/>
          <w:sz w:val="22"/>
          <w:szCs w:val="22"/>
        </w:rPr>
        <w:t xml:space="preserve"> </w:t>
      </w:r>
      <w:r w:rsidRPr="0381C8B4">
        <w:rPr>
          <w:sz w:val="22"/>
          <w:szCs w:val="22"/>
        </w:rPr>
        <w:t xml:space="preserve">the second most expensive ($720,775) and the highest rated package, </w:t>
      </w:r>
      <w:r w:rsidRPr="0381C8B4">
        <w:rPr>
          <w:i/>
          <w:iCs/>
          <w:sz w:val="22"/>
          <w:szCs w:val="22"/>
        </w:rPr>
        <w:t>JSTOR</w:t>
      </w:r>
      <w:r w:rsidRPr="0381C8B4">
        <w:rPr>
          <w:sz w:val="22"/>
          <w:szCs w:val="22"/>
        </w:rPr>
        <w:t xml:space="preserve"> (comprised of 13 collections), had a three-year annual average of almost 785,000 downloads giving it an average $0.92 cost/download. However, this average was significantly affected by 1.8 million downloads recorded for 2017. Averaging just 2016 and 2018, the average cost per download would be $2.64. </w:t>
      </w:r>
    </w:p>
    <w:p w14:paraId="60A7EC47" w14:textId="25205668" w:rsidR="008A2459" w:rsidRPr="008A2459" w:rsidRDefault="008A2459" w:rsidP="00591EF6">
      <w:pPr>
        <w:rPr>
          <w:sz w:val="22"/>
          <w:szCs w:val="22"/>
        </w:rPr>
      </w:pPr>
    </w:p>
    <w:p w14:paraId="09302774" w14:textId="7A822131" w:rsidR="008A2459" w:rsidRDefault="0381C8B4" w:rsidP="689981D0">
      <w:pPr>
        <w:rPr>
          <w:sz w:val="22"/>
          <w:szCs w:val="22"/>
        </w:rPr>
      </w:pPr>
      <w:r w:rsidRPr="0381C8B4">
        <w:rPr>
          <w:sz w:val="22"/>
          <w:szCs w:val="22"/>
        </w:rPr>
        <w:lastRenderedPageBreak/>
        <w:t>Five resources declined in use:</w:t>
      </w:r>
      <w:r w:rsidRPr="0381C8B4">
        <w:rPr>
          <w:i/>
          <w:iCs/>
          <w:sz w:val="22"/>
          <w:szCs w:val="22"/>
        </w:rPr>
        <w:t xml:space="preserve"> America History &amp; Life, Global </w:t>
      </w:r>
      <w:proofErr w:type="spellStart"/>
      <w:r w:rsidRPr="0381C8B4">
        <w:rPr>
          <w:i/>
          <w:iCs/>
          <w:sz w:val="22"/>
          <w:szCs w:val="22"/>
        </w:rPr>
        <w:t>Newsstream</w:t>
      </w:r>
      <w:proofErr w:type="spellEnd"/>
      <w:r w:rsidRPr="0381C8B4">
        <w:rPr>
          <w:i/>
          <w:iCs/>
          <w:sz w:val="22"/>
          <w:szCs w:val="22"/>
        </w:rPr>
        <w:t xml:space="preserve">, </w:t>
      </w:r>
      <w:proofErr w:type="spellStart"/>
      <w:r w:rsidRPr="0381C8B4">
        <w:rPr>
          <w:i/>
          <w:iCs/>
          <w:sz w:val="22"/>
          <w:szCs w:val="22"/>
        </w:rPr>
        <w:t>PsycInfo</w:t>
      </w:r>
      <w:proofErr w:type="spellEnd"/>
      <w:r w:rsidRPr="0381C8B4">
        <w:rPr>
          <w:i/>
          <w:iCs/>
          <w:sz w:val="22"/>
          <w:szCs w:val="22"/>
        </w:rPr>
        <w:t xml:space="preserve">, </w:t>
      </w:r>
      <w:proofErr w:type="spellStart"/>
      <w:r w:rsidRPr="0381C8B4">
        <w:rPr>
          <w:i/>
          <w:iCs/>
          <w:sz w:val="22"/>
          <w:szCs w:val="22"/>
        </w:rPr>
        <w:t>PsycArticles</w:t>
      </w:r>
      <w:proofErr w:type="spellEnd"/>
      <w:r w:rsidRPr="0381C8B4">
        <w:rPr>
          <w:i/>
          <w:iCs/>
          <w:sz w:val="22"/>
          <w:szCs w:val="22"/>
        </w:rPr>
        <w:t xml:space="preserve"> </w:t>
      </w:r>
      <w:r w:rsidRPr="0381C8B4">
        <w:rPr>
          <w:sz w:val="22"/>
          <w:szCs w:val="22"/>
        </w:rPr>
        <w:t>and</w:t>
      </w:r>
      <w:r w:rsidRPr="0381C8B4">
        <w:rPr>
          <w:i/>
          <w:iCs/>
          <w:sz w:val="22"/>
          <w:szCs w:val="22"/>
        </w:rPr>
        <w:t xml:space="preserve"> Safari</w:t>
      </w:r>
      <w:r w:rsidRPr="0381C8B4">
        <w:rPr>
          <w:sz w:val="22"/>
          <w:szCs w:val="22"/>
        </w:rPr>
        <w:t xml:space="preserve">. In addition, </w:t>
      </w:r>
      <w:proofErr w:type="spellStart"/>
      <w:r w:rsidRPr="0381C8B4">
        <w:rPr>
          <w:sz w:val="22"/>
          <w:szCs w:val="22"/>
        </w:rPr>
        <w:t>GenderWatch</w:t>
      </w:r>
      <w:proofErr w:type="spellEnd"/>
      <w:r w:rsidRPr="0381C8B4">
        <w:rPr>
          <w:sz w:val="22"/>
          <w:szCs w:val="22"/>
        </w:rPr>
        <w:t xml:space="preserve"> and </w:t>
      </w:r>
      <w:r w:rsidRPr="0381C8B4">
        <w:rPr>
          <w:i/>
          <w:iCs/>
          <w:sz w:val="22"/>
          <w:szCs w:val="22"/>
        </w:rPr>
        <w:t xml:space="preserve">Ethnic </w:t>
      </w:r>
      <w:proofErr w:type="spellStart"/>
      <w:r w:rsidRPr="0381C8B4">
        <w:rPr>
          <w:i/>
          <w:iCs/>
          <w:sz w:val="22"/>
          <w:szCs w:val="22"/>
        </w:rPr>
        <w:t>Newswatch</w:t>
      </w:r>
      <w:proofErr w:type="spellEnd"/>
      <w:r w:rsidRPr="0381C8B4">
        <w:rPr>
          <w:i/>
          <w:iCs/>
          <w:sz w:val="22"/>
          <w:szCs w:val="22"/>
        </w:rPr>
        <w:t xml:space="preserve"> </w:t>
      </w:r>
      <w:r w:rsidRPr="0381C8B4">
        <w:rPr>
          <w:sz w:val="22"/>
          <w:szCs w:val="22"/>
        </w:rPr>
        <w:t xml:space="preserve">had a decline in searches, but increases in downloads. The declines in searches may reflect a switch in user searching behavior from the databases to </w:t>
      </w:r>
      <w:proofErr w:type="spellStart"/>
      <w:r w:rsidRPr="0381C8B4">
        <w:rPr>
          <w:sz w:val="22"/>
          <w:szCs w:val="22"/>
        </w:rPr>
        <w:t>Primo’s</w:t>
      </w:r>
      <w:proofErr w:type="spellEnd"/>
      <w:r w:rsidRPr="0381C8B4">
        <w:rPr>
          <w:sz w:val="22"/>
          <w:szCs w:val="22"/>
        </w:rPr>
        <w:t xml:space="preserve"> </w:t>
      </w:r>
      <w:proofErr w:type="spellStart"/>
      <w:r w:rsidRPr="0381C8B4">
        <w:rPr>
          <w:sz w:val="22"/>
          <w:szCs w:val="22"/>
        </w:rPr>
        <w:t>OneSearch</w:t>
      </w:r>
      <w:proofErr w:type="spellEnd"/>
      <w:r w:rsidRPr="0381C8B4">
        <w:rPr>
          <w:sz w:val="22"/>
          <w:szCs w:val="22"/>
        </w:rPr>
        <w:t xml:space="preserve"> discovery tool. For </w:t>
      </w:r>
      <w:proofErr w:type="spellStart"/>
      <w:r w:rsidRPr="0381C8B4">
        <w:rPr>
          <w:i/>
          <w:iCs/>
          <w:sz w:val="22"/>
          <w:szCs w:val="22"/>
        </w:rPr>
        <w:t>PsycArticles</w:t>
      </w:r>
      <w:proofErr w:type="spellEnd"/>
      <w:r w:rsidRPr="0381C8B4">
        <w:rPr>
          <w:i/>
          <w:iCs/>
          <w:sz w:val="22"/>
          <w:szCs w:val="22"/>
        </w:rPr>
        <w:t xml:space="preserve"> </w:t>
      </w:r>
      <w:r w:rsidRPr="0381C8B4">
        <w:rPr>
          <w:sz w:val="22"/>
          <w:szCs w:val="22"/>
        </w:rPr>
        <w:t xml:space="preserve">and </w:t>
      </w:r>
      <w:r w:rsidRPr="0381C8B4">
        <w:rPr>
          <w:i/>
          <w:iCs/>
          <w:sz w:val="22"/>
          <w:szCs w:val="22"/>
        </w:rPr>
        <w:t>Safari,</w:t>
      </w:r>
      <w:r w:rsidRPr="0381C8B4">
        <w:rPr>
          <w:sz w:val="22"/>
          <w:szCs w:val="22"/>
        </w:rPr>
        <w:t xml:space="preserve"> the decline may have been affected by a lag in activating resources in Primo Central Index. Downloads from </w:t>
      </w:r>
      <w:r w:rsidRPr="0381C8B4">
        <w:rPr>
          <w:i/>
          <w:iCs/>
          <w:sz w:val="22"/>
          <w:szCs w:val="22"/>
        </w:rPr>
        <w:t>Academic Search Premier/Business Source Premier</w:t>
      </w:r>
      <w:r w:rsidRPr="0381C8B4">
        <w:rPr>
          <w:sz w:val="22"/>
          <w:szCs w:val="22"/>
        </w:rPr>
        <w:t xml:space="preserve"> doubled in 2018, which we could not explain.</w:t>
      </w:r>
    </w:p>
    <w:p w14:paraId="43EABA36" w14:textId="0C5354C1" w:rsidR="4C52EA78" w:rsidRDefault="4C52EA78" w:rsidP="4C52EA78">
      <w:pPr>
        <w:rPr>
          <w:sz w:val="22"/>
          <w:szCs w:val="22"/>
        </w:rPr>
      </w:pPr>
    </w:p>
    <w:p w14:paraId="5C14F969" w14:textId="6B82670C" w:rsidR="002327DF" w:rsidRDefault="0381C8B4" w:rsidP="26D8CBB2">
      <w:pPr>
        <w:rPr>
          <w:sz w:val="22"/>
          <w:szCs w:val="22"/>
        </w:rPr>
      </w:pPr>
      <w:r w:rsidRPr="0381C8B4">
        <w:rPr>
          <w:i/>
          <w:iCs/>
          <w:sz w:val="22"/>
          <w:szCs w:val="22"/>
        </w:rPr>
        <w:t xml:space="preserve">Biological Abstracts </w:t>
      </w:r>
      <w:r w:rsidRPr="0381C8B4">
        <w:rPr>
          <w:sz w:val="22"/>
          <w:szCs w:val="22"/>
        </w:rPr>
        <w:t xml:space="preserve">was not able to be accurately evaluated; the vendor, Clarivate, was unable to distinguish usage between </w:t>
      </w:r>
      <w:r w:rsidRPr="0381C8B4">
        <w:rPr>
          <w:i/>
          <w:iCs/>
          <w:sz w:val="22"/>
          <w:szCs w:val="22"/>
        </w:rPr>
        <w:t>Biological Abstracts</w:t>
      </w:r>
      <w:r w:rsidRPr="0381C8B4">
        <w:rPr>
          <w:sz w:val="22"/>
          <w:szCs w:val="22"/>
        </w:rPr>
        <w:t xml:space="preserve"> (part of the ECC) and the </w:t>
      </w:r>
      <w:r w:rsidRPr="0381C8B4">
        <w:rPr>
          <w:i/>
          <w:iCs/>
          <w:sz w:val="22"/>
          <w:szCs w:val="22"/>
        </w:rPr>
        <w:t>BIOSIS</w:t>
      </w:r>
      <w:r w:rsidRPr="0381C8B4">
        <w:rPr>
          <w:sz w:val="22"/>
          <w:szCs w:val="22"/>
        </w:rPr>
        <w:t xml:space="preserve"> upgrade/opt-in products subscribed to by several campuses. In addition, the statistics Clarivate did provide were so low and confusing that we could not trust them. As an abstract database, the preferred metric would generally be searches, which is not what they provided. </w:t>
      </w:r>
      <w:proofErr w:type="spellStart"/>
      <w:r w:rsidRPr="0381C8B4">
        <w:rPr>
          <w:i/>
          <w:iCs/>
          <w:sz w:val="22"/>
          <w:szCs w:val="22"/>
        </w:rPr>
        <w:t>MathSciNet</w:t>
      </w:r>
      <w:proofErr w:type="spellEnd"/>
      <w:r w:rsidRPr="0381C8B4">
        <w:rPr>
          <w:i/>
          <w:iCs/>
          <w:sz w:val="22"/>
          <w:szCs w:val="22"/>
        </w:rPr>
        <w:t xml:space="preserve"> </w:t>
      </w:r>
      <w:r w:rsidRPr="0381C8B4">
        <w:rPr>
          <w:sz w:val="22"/>
          <w:szCs w:val="22"/>
        </w:rPr>
        <w:t xml:space="preserve">was evaluated based on the total cost, which is partially paid by the ECC and mostly paid by 15 campuses. We did not evaluate </w:t>
      </w:r>
      <w:r w:rsidRPr="0381C8B4">
        <w:rPr>
          <w:i/>
          <w:iCs/>
          <w:sz w:val="22"/>
          <w:szCs w:val="22"/>
        </w:rPr>
        <w:t>SCOAP3</w:t>
      </w:r>
      <w:r w:rsidRPr="0381C8B4">
        <w:rPr>
          <w:sz w:val="22"/>
          <w:szCs w:val="22"/>
        </w:rPr>
        <w:t>.</w:t>
      </w:r>
    </w:p>
    <w:p w14:paraId="513CACBB" w14:textId="77777777" w:rsidR="00F656D6" w:rsidRPr="00E1621C" w:rsidRDefault="00F656D6" w:rsidP="008A2459">
      <w:pPr>
        <w:rPr>
          <w:i/>
          <w:sz w:val="22"/>
          <w:szCs w:val="22"/>
        </w:rPr>
      </w:pPr>
    </w:p>
    <w:p w14:paraId="649F9BDC" w14:textId="28357FF2" w:rsidR="008A2459" w:rsidRDefault="008A2459" w:rsidP="00591EF6">
      <w:pPr>
        <w:rPr>
          <w:sz w:val="22"/>
          <w:szCs w:val="22"/>
        </w:rPr>
      </w:pPr>
    </w:p>
    <w:p w14:paraId="3D2C6F6C" w14:textId="6CBB4751" w:rsidR="00D73F6B" w:rsidRPr="00D73F6B" w:rsidRDefault="00D73F6B" w:rsidP="00591EF6">
      <w:pPr>
        <w:rPr>
          <w:b/>
          <w:color w:val="000000" w:themeColor="text1"/>
          <w:sz w:val="22"/>
          <w:szCs w:val="22"/>
          <w:u w:val="single"/>
        </w:rPr>
      </w:pPr>
      <w:r w:rsidRPr="00D73F6B">
        <w:rPr>
          <w:b/>
          <w:color w:val="000000" w:themeColor="text1"/>
          <w:sz w:val="22"/>
          <w:szCs w:val="22"/>
          <w:u w:val="single"/>
        </w:rPr>
        <w:t>Conclusion</w:t>
      </w:r>
    </w:p>
    <w:p w14:paraId="6D816F57" w14:textId="560ECA18" w:rsidR="0091289D" w:rsidRPr="00D73F6B" w:rsidRDefault="0381C8B4" w:rsidP="0381C8B4">
      <w:pPr>
        <w:rPr>
          <w:color w:val="000000" w:themeColor="text1"/>
          <w:sz w:val="22"/>
          <w:szCs w:val="22"/>
          <w:highlight w:val="yellow"/>
        </w:rPr>
      </w:pPr>
      <w:r w:rsidRPr="0381C8B4">
        <w:rPr>
          <w:color w:val="000000" w:themeColor="text1"/>
          <w:sz w:val="22"/>
          <w:szCs w:val="22"/>
        </w:rPr>
        <w:t>The multi-campus survey and multi-year cost-per-use analysis together show evidence of high system-wide value of the resources noted in Table 1. But most ECC resources have a cost-per-use (at least 17 resources having a cost/download or cost/search of $1 or less) that indicates these resources provide a high return on investment for the California State University system.</w:t>
      </w:r>
    </w:p>
    <w:p w14:paraId="1999485B" w14:textId="77777777" w:rsidR="0091289D" w:rsidRDefault="0091289D" w:rsidP="00591EF6">
      <w:pPr>
        <w:rPr>
          <w:b/>
          <w:sz w:val="22"/>
          <w:szCs w:val="22"/>
        </w:rPr>
      </w:pPr>
    </w:p>
    <w:p w14:paraId="4328731F" w14:textId="184ECEB6" w:rsidR="0091289D" w:rsidRPr="008043CD" w:rsidRDefault="0091289D" w:rsidP="008043CD">
      <w:pPr>
        <w:outlineLvl w:val="0"/>
        <w:rPr>
          <w:b/>
          <w:sz w:val="22"/>
          <w:szCs w:val="22"/>
          <w:u w:val="single"/>
        </w:rPr>
      </w:pPr>
      <w:r w:rsidRPr="008043CD">
        <w:rPr>
          <w:b/>
          <w:sz w:val="22"/>
          <w:szCs w:val="22"/>
          <w:u w:val="single"/>
        </w:rPr>
        <w:t>Discussion and Recommendations</w:t>
      </w:r>
    </w:p>
    <w:p w14:paraId="707E87A1" w14:textId="2EE592AF" w:rsidR="0091289D" w:rsidRDefault="0381C8B4" w:rsidP="00591EF6">
      <w:pPr>
        <w:rPr>
          <w:sz w:val="22"/>
          <w:szCs w:val="22"/>
        </w:rPr>
      </w:pPr>
      <w:r w:rsidRPr="0381C8B4">
        <w:rPr>
          <w:sz w:val="22"/>
          <w:szCs w:val="22"/>
        </w:rPr>
        <w:t>ROI data such as cost-per-use is a critical element in evaluating and recommending digital library collections. In addition, broad usage and relevance to common curriculum across the system are equally important factors</w:t>
      </w:r>
      <w:r w:rsidR="00603B31">
        <w:rPr>
          <w:sz w:val="22"/>
          <w:szCs w:val="22"/>
        </w:rPr>
        <w:t xml:space="preserve"> in evaluating the Electronic Core Collection</w:t>
      </w:r>
      <w:r w:rsidRPr="0381C8B4">
        <w:rPr>
          <w:sz w:val="22"/>
          <w:szCs w:val="22"/>
        </w:rPr>
        <w:t>.</w:t>
      </w:r>
      <w:r w:rsidR="00603B31">
        <w:rPr>
          <w:sz w:val="22"/>
          <w:szCs w:val="22"/>
        </w:rPr>
        <w:t xml:space="preserve"> </w:t>
      </w:r>
      <w:bookmarkStart w:id="0" w:name="_GoBack"/>
      <w:bookmarkEnd w:id="0"/>
    </w:p>
    <w:p w14:paraId="3427333B" w14:textId="77777777" w:rsidR="0091289D" w:rsidRDefault="0091289D" w:rsidP="0091289D">
      <w:pPr>
        <w:rPr>
          <w:sz w:val="22"/>
          <w:szCs w:val="22"/>
        </w:rPr>
      </w:pPr>
    </w:p>
    <w:p w14:paraId="076D7B0B" w14:textId="7A2066BB" w:rsidR="00C91B8B" w:rsidRDefault="00C91B8B" w:rsidP="0091289D">
      <w:pPr>
        <w:rPr>
          <w:sz w:val="22"/>
          <w:szCs w:val="22"/>
        </w:rPr>
      </w:pPr>
      <w:r>
        <w:rPr>
          <w:sz w:val="22"/>
          <w:szCs w:val="22"/>
        </w:rPr>
        <w:t>This subcommittee makes the following recommendations:</w:t>
      </w:r>
    </w:p>
    <w:p w14:paraId="6A4CA562" w14:textId="77777777" w:rsidR="00C91B8B" w:rsidRDefault="00C91B8B" w:rsidP="0091289D">
      <w:pPr>
        <w:rPr>
          <w:sz w:val="22"/>
          <w:szCs w:val="22"/>
        </w:rPr>
      </w:pPr>
    </w:p>
    <w:p w14:paraId="0E161A3C" w14:textId="54B3A642" w:rsidR="00C91B8B" w:rsidRDefault="00FB40D8" w:rsidP="00C91B8B">
      <w:pPr>
        <w:pStyle w:val="ListParagraph"/>
        <w:numPr>
          <w:ilvl w:val="0"/>
          <w:numId w:val="9"/>
        </w:numPr>
        <w:rPr>
          <w:sz w:val="22"/>
          <w:szCs w:val="22"/>
        </w:rPr>
      </w:pPr>
      <w:r>
        <w:rPr>
          <w:sz w:val="22"/>
          <w:szCs w:val="22"/>
        </w:rPr>
        <w:t xml:space="preserve">A staff member </w:t>
      </w:r>
      <w:r w:rsidR="00C91B8B" w:rsidRPr="00C91B8B">
        <w:rPr>
          <w:sz w:val="22"/>
          <w:szCs w:val="22"/>
        </w:rPr>
        <w:t>be id</w:t>
      </w:r>
      <w:r w:rsidR="00C91B8B">
        <w:rPr>
          <w:sz w:val="22"/>
          <w:szCs w:val="22"/>
        </w:rPr>
        <w:t>entified, either at the C</w:t>
      </w:r>
      <w:r>
        <w:rPr>
          <w:sz w:val="22"/>
          <w:szCs w:val="22"/>
        </w:rPr>
        <w:t xml:space="preserve">hancellor’s </w:t>
      </w:r>
      <w:r w:rsidR="00C91B8B">
        <w:rPr>
          <w:sz w:val="22"/>
          <w:szCs w:val="22"/>
        </w:rPr>
        <w:t>O</w:t>
      </w:r>
      <w:r>
        <w:rPr>
          <w:sz w:val="22"/>
          <w:szCs w:val="22"/>
        </w:rPr>
        <w:t>ffice</w:t>
      </w:r>
      <w:r w:rsidR="00C91B8B">
        <w:rPr>
          <w:sz w:val="22"/>
          <w:szCs w:val="22"/>
        </w:rPr>
        <w:t xml:space="preserve"> or a CSU lib</w:t>
      </w:r>
      <w:r>
        <w:rPr>
          <w:sz w:val="22"/>
          <w:szCs w:val="22"/>
        </w:rPr>
        <w:t>r</w:t>
      </w:r>
      <w:r w:rsidR="00C91B8B">
        <w:rPr>
          <w:sz w:val="22"/>
          <w:szCs w:val="22"/>
        </w:rPr>
        <w:t>ary</w:t>
      </w:r>
      <w:r w:rsidR="00C91B8B" w:rsidRPr="00C91B8B">
        <w:rPr>
          <w:sz w:val="22"/>
          <w:szCs w:val="22"/>
        </w:rPr>
        <w:t>, to complete annual cost-per-use analys</w:t>
      </w:r>
      <w:r w:rsidR="00E50C59">
        <w:rPr>
          <w:sz w:val="22"/>
          <w:szCs w:val="22"/>
        </w:rPr>
        <w:t>es</w:t>
      </w:r>
      <w:r w:rsidR="00C91B8B" w:rsidRPr="00C91B8B">
        <w:rPr>
          <w:sz w:val="22"/>
          <w:szCs w:val="22"/>
        </w:rPr>
        <w:t xml:space="preserve"> for all ECC resources using the template</w:t>
      </w:r>
      <w:r w:rsidR="00E91C8F">
        <w:rPr>
          <w:sz w:val="22"/>
          <w:szCs w:val="22"/>
        </w:rPr>
        <w:t>s</w:t>
      </w:r>
      <w:r w:rsidR="00C91B8B" w:rsidRPr="00C91B8B">
        <w:rPr>
          <w:sz w:val="22"/>
          <w:szCs w:val="22"/>
        </w:rPr>
        <w:t xml:space="preserve"> provided in this report</w:t>
      </w:r>
      <w:r w:rsidR="00255132">
        <w:rPr>
          <w:sz w:val="22"/>
          <w:szCs w:val="22"/>
        </w:rPr>
        <w:t>, to support the EAR Committee and COLD in assessing the CSU’s shared digital content.</w:t>
      </w:r>
    </w:p>
    <w:p w14:paraId="5353598E" w14:textId="4131D52F" w:rsidR="00C91B8B" w:rsidRDefault="0381C8B4" w:rsidP="26D8CBB2">
      <w:pPr>
        <w:pStyle w:val="ListParagraph"/>
        <w:numPr>
          <w:ilvl w:val="0"/>
          <w:numId w:val="9"/>
        </w:numPr>
        <w:rPr>
          <w:sz w:val="22"/>
          <w:szCs w:val="22"/>
        </w:rPr>
      </w:pPr>
      <w:r w:rsidRPr="0381C8B4">
        <w:rPr>
          <w:sz w:val="22"/>
          <w:szCs w:val="22"/>
        </w:rPr>
        <w:t>The EAR committee recommend guidelines for the role of cost-per-use data in subscription and cancellation decisions for the ECC.</w:t>
      </w:r>
    </w:p>
    <w:p w14:paraId="25799885" w14:textId="193AF5BF" w:rsidR="0091289D" w:rsidRPr="00EC7CCE" w:rsidRDefault="0381C8B4" w:rsidP="26D8CBB2">
      <w:pPr>
        <w:pStyle w:val="ListParagraph"/>
        <w:numPr>
          <w:ilvl w:val="0"/>
          <w:numId w:val="9"/>
        </w:numPr>
        <w:rPr>
          <w:sz w:val="22"/>
          <w:szCs w:val="22"/>
        </w:rPr>
      </w:pPr>
      <w:r w:rsidRPr="0381C8B4">
        <w:rPr>
          <w:sz w:val="22"/>
          <w:szCs w:val="22"/>
        </w:rPr>
        <w:t>To guide subscription and cancellation decisions for the ECC, the EAR committee should develop more detailed guidelines and definitions than currently available regarding the definition of “core” curriculum and digital content for the CSU system and to provide context and scope not addressed by system-wide, cost-per-use data.</w:t>
      </w:r>
    </w:p>
    <w:p w14:paraId="603B23EC" w14:textId="53DD63F8" w:rsidR="002F1D74" w:rsidRPr="008043CD" w:rsidRDefault="0381C8B4" w:rsidP="689981D0">
      <w:pPr>
        <w:pStyle w:val="ListParagraph"/>
        <w:numPr>
          <w:ilvl w:val="0"/>
          <w:numId w:val="9"/>
        </w:numPr>
        <w:rPr>
          <w:sz w:val="22"/>
          <w:szCs w:val="22"/>
        </w:rPr>
      </w:pPr>
      <w:r w:rsidRPr="0381C8B4">
        <w:rPr>
          <w:sz w:val="22"/>
          <w:szCs w:val="22"/>
        </w:rPr>
        <w:t xml:space="preserve">COLD, EAR, and CO staff lobby the appropriate vendors to provide the data necessary for assessment of </w:t>
      </w:r>
      <w:r w:rsidRPr="0381C8B4">
        <w:rPr>
          <w:i/>
          <w:iCs/>
          <w:sz w:val="22"/>
          <w:szCs w:val="22"/>
        </w:rPr>
        <w:t>Bio Abstracts, Academic Search Premier/Business Source Premier</w:t>
      </w:r>
      <w:r w:rsidRPr="0381C8B4">
        <w:rPr>
          <w:sz w:val="22"/>
          <w:szCs w:val="22"/>
        </w:rPr>
        <w:t xml:space="preserve">, and </w:t>
      </w:r>
      <w:r w:rsidRPr="0381C8B4">
        <w:rPr>
          <w:i/>
          <w:iCs/>
          <w:sz w:val="22"/>
          <w:szCs w:val="22"/>
        </w:rPr>
        <w:t>Academic Complete eBooks</w:t>
      </w:r>
      <w:r w:rsidRPr="0381C8B4">
        <w:rPr>
          <w:sz w:val="22"/>
          <w:szCs w:val="22"/>
        </w:rPr>
        <w:t xml:space="preserve">. Also, </w:t>
      </w:r>
      <w:r w:rsidRPr="0381C8B4">
        <w:rPr>
          <w:i/>
          <w:iCs/>
          <w:sz w:val="22"/>
          <w:szCs w:val="22"/>
        </w:rPr>
        <w:t>JSTOR and ASP/BSP</w:t>
      </w:r>
      <w:r w:rsidRPr="0381C8B4">
        <w:rPr>
          <w:sz w:val="22"/>
          <w:szCs w:val="22"/>
        </w:rPr>
        <w:t xml:space="preserve"> usage should be monitored closely given the outlier data on these resources.</w:t>
      </w:r>
    </w:p>
    <w:p w14:paraId="57DDEC79" w14:textId="77777777" w:rsidR="002F1D74" w:rsidRDefault="002F1D74" w:rsidP="00591EF6">
      <w:pPr>
        <w:rPr>
          <w:sz w:val="22"/>
          <w:szCs w:val="22"/>
        </w:rPr>
      </w:pPr>
    </w:p>
    <w:p w14:paraId="77C5D2B1" w14:textId="73439AA6" w:rsidR="002F1D74" w:rsidRDefault="008043CD" w:rsidP="00591EF6">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00DA1B8D" wp14:editId="0390C121">
                <wp:simplePos x="0" y="0"/>
                <wp:positionH relativeFrom="column">
                  <wp:posOffset>-17145</wp:posOffset>
                </wp:positionH>
                <wp:positionV relativeFrom="paragraph">
                  <wp:posOffset>87630</wp:posOffset>
                </wp:positionV>
                <wp:extent cx="6019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a="http://schemas.openxmlformats.org/drawingml/2006/main" xmlns:arto="http://schemas.microsoft.com/office/word/2006/arto" xmlns:w16="http://schemas.microsoft.com/office/word/2018/wordml" xmlns:w16cex="http://schemas.microsoft.com/office/word/2018/wordml/cex">
            <w:pict>
              <v:line id="Straight Connector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35pt,6.9pt" to="472.65pt,6.9pt" w14:anchorId="2D4A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">
                <v:stroke joinstyle="miter"/>
              </v:line>
            </w:pict>
          </mc:Fallback>
        </mc:AlternateContent>
      </w:r>
    </w:p>
    <w:p w14:paraId="7B30D05A" w14:textId="1E5EBB6D" w:rsidR="002F1D74" w:rsidRDefault="00D043B6" w:rsidP="00591EF6">
      <w:pPr>
        <w:rPr>
          <w:sz w:val="22"/>
          <w:szCs w:val="22"/>
        </w:rPr>
      </w:pPr>
      <w:proofErr w:type="spellStart"/>
      <w:r w:rsidRPr="00D043B6">
        <w:rPr>
          <w:sz w:val="18"/>
          <w:szCs w:val="18"/>
          <w:vertAlign w:val="superscript"/>
        </w:rPr>
        <w:t>a</w:t>
      </w:r>
      <w:r w:rsidRPr="00591EF6">
        <w:rPr>
          <w:sz w:val="18"/>
          <w:szCs w:val="18"/>
        </w:rPr>
        <w:t>Counts</w:t>
      </w:r>
      <w:proofErr w:type="spellEnd"/>
      <w:r w:rsidRPr="00591EF6">
        <w:rPr>
          <w:sz w:val="18"/>
          <w:szCs w:val="18"/>
        </w:rPr>
        <w:t xml:space="preserve"> all 13 </w:t>
      </w:r>
      <w:r w:rsidRPr="00591EF6">
        <w:rPr>
          <w:i/>
          <w:sz w:val="18"/>
          <w:szCs w:val="18"/>
        </w:rPr>
        <w:t xml:space="preserve">JSTOR </w:t>
      </w:r>
      <w:r w:rsidRPr="00591EF6">
        <w:rPr>
          <w:sz w:val="18"/>
          <w:szCs w:val="18"/>
        </w:rPr>
        <w:t>subscriptions as one resource</w:t>
      </w:r>
      <w:r w:rsidR="007F18EF">
        <w:rPr>
          <w:sz w:val="18"/>
          <w:szCs w:val="18"/>
        </w:rPr>
        <w:t>.</w:t>
      </w:r>
    </w:p>
    <w:p w14:paraId="2A7EF1F7" w14:textId="5F9F8E13" w:rsidR="007B0759" w:rsidRPr="007B0759" w:rsidRDefault="689981D0" w:rsidP="689981D0">
      <w:pPr>
        <w:rPr>
          <w:sz w:val="18"/>
          <w:szCs w:val="18"/>
        </w:rPr>
      </w:pPr>
      <w:r w:rsidRPr="689981D0">
        <w:rPr>
          <w:sz w:val="18"/>
          <w:szCs w:val="18"/>
          <w:vertAlign w:val="superscript"/>
        </w:rPr>
        <w:t>b</w:t>
      </w:r>
      <w:r w:rsidRPr="689981D0">
        <w:rPr>
          <w:sz w:val="18"/>
          <w:szCs w:val="18"/>
        </w:rPr>
        <w:t xml:space="preserve"> Cost per download or full-text view was the metric for all but five, index-only resources, for which cost per search was used. The </w:t>
      </w:r>
      <w:hyperlink r:id="rId12">
        <w:r w:rsidRPr="689981D0">
          <w:rPr>
            <w:rStyle w:val="Hyperlink"/>
            <w:sz w:val="18"/>
            <w:szCs w:val="18"/>
          </w:rPr>
          <w:t>detailed reports</w:t>
        </w:r>
      </w:hyperlink>
      <w:r w:rsidRPr="689981D0">
        <w:rPr>
          <w:sz w:val="18"/>
          <w:szCs w:val="18"/>
        </w:rPr>
        <w:t xml:space="preserve"> provides cost/use for each campus and each resource, plus the system-wide average and median. Campus costs came from the Chancellor’s Office or were imputed using student FTEs from 2016-2017. Usage is a 3-year average (2016-2018), unless otherwise noted. </w:t>
      </w:r>
    </w:p>
    <w:p w14:paraId="51CC8B53" w14:textId="622882AA" w:rsidR="002F1D74" w:rsidRDefault="0381C8B4" w:rsidP="002F1D74">
      <w:pPr>
        <w:rPr>
          <w:sz w:val="18"/>
          <w:szCs w:val="18"/>
        </w:rPr>
      </w:pPr>
      <w:proofErr w:type="spellStart"/>
      <w:r w:rsidRPr="0381C8B4">
        <w:rPr>
          <w:sz w:val="18"/>
          <w:szCs w:val="18"/>
          <w:vertAlign w:val="superscript"/>
        </w:rPr>
        <w:t>c</w:t>
      </w:r>
      <w:r w:rsidRPr="0381C8B4">
        <w:rPr>
          <w:sz w:val="18"/>
          <w:szCs w:val="18"/>
        </w:rPr>
        <w:t>At</w:t>
      </w:r>
      <w:proofErr w:type="spellEnd"/>
      <w:r w:rsidRPr="0381C8B4">
        <w:rPr>
          <w:sz w:val="18"/>
          <w:szCs w:val="18"/>
        </w:rPr>
        <w:t xml:space="preserve"> least 15 campuses rated each of these resources as “essential.” For an earlier EAR presentation in March 2019, we considered highly rated to be when 13 campuses said a resource was “essential.” We later raised the threshold to 15, as a stronger indicator. The two resources that were dropped from Table 1 were America History &amp; Life, rated as essential by 14 campuses and Project Muse rated as essential by 13 campuses.</w:t>
      </w:r>
    </w:p>
    <w:p w14:paraId="2D19368A" w14:textId="1B05CBFC" w:rsidR="004B1A3C" w:rsidRDefault="1B42BC8D" w:rsidP="002F1D74">
      <w:pPr>
        <w:rPr>
          <w:sz w:val="18"/>
          <w:szCs w:val="18"/>
        </w:rPr>
      </w:pPr>
      <w:proofErr w:type="spellStart"/>
      <w:r w:rsidRPr="1B42BC8D">
        <w:rPr>
          <w:sz w:val="18"/>
          <w:szCs w:val="18"/>
          <w:vertAlign w:val="superscript"/>
        </w:rPr>
        <w:lastRenderedPageBreak/>
        <w:t>d</w:t>
      </w:r>
      <w:r w:rsidRPr="1B42BC8D">
        <w:rPr>
          <w:sz w:val="18"/>
          <w:szCs w:val="18"/>
        </w:rPr>
        <w:t>Broadly</w:t>
      </w:r>
      <w:proofErr w:type="spellEnd"/>
      <w:r w:rsidRPr="1B42BC8D">
        <w:rPr>
          <w:sz w:val="18"/>
          <w:szCs w:val="18"/>
        </w:rPr>
        <w:t xml:space="preserve"> used means that all campuses had usage (with occasional exception of Maritime) and that 80% or more campuses had a share of usage representing at least half of its proportion of FTEs.</w:t>
      </w:r>
    </w:p>
    <w:p w14:paraId="07ADD450" w14:textId="7DAA2B49" w:rsidR="1B42BC8D" w:rsidRDefault="1B42BC8D" w:rsidP="1B42BC8D">
      <w:pPr>
        <w:rPr>
          <w:sz w:val="18"/>
          <w:szCs w:val="18"/>
        </w:rPr>
      </w:pPr>
      <w:proofErr w:type="spellStart"/>
      <w:r w:rsidRPr="1B42BC8D">
        <w:rPr>
          <w:sz w:val="18"/>
          <w:szCs w:val="18"/>
          <w:vertAlign w:val="superscript"/>
        </w:rPr>
        <w:t>e</w:t>
      </w:r>
      <w:r w:rsidRPr="1B42BC8D">
        <w:rPr>
          <w:sz w:val="18"/>
          <w:szCs w:val="18"/>
        </w:rPr>
        <w:t>Four</w:t>
      </w:r>
      <w:proofErr w:type="spellEnd"/>
      <w:r w:rsidRPr="1B42BC8D">
        <w:rPr>
          <w:sz w:val="18"/>
          <w:szCs w:val="18"/>
        </w:rPr>
        <w:t xml:space="preserve"> campuses dominated the MLA usage, and five campuses had less than 40% of their proportion of FTEs. With Safari, four campuses had usage at least twice their proportion of FTEs, and </w:t>
      </w:r>
      <w:r w:rsidR="00AC6198">
        <w:rPr>
          <w:sz w:val="18"/>
          <w:szCs w:val="18"/>
        </w:rPr>
        <w:t xml:space="preserve">five </w:t>
      </w:r>
      <w:r w:rsidRPr="1B42BC8D">
        <w:rPr>
          <w:sz w:val="18"/>
          <w:szCs w:val="18"/>
        </w:rPr>
        <w:t>campuses had usage less than 40% of their proportion of FTEs.</w:t>
      </w:r>
    </w:p>
    <w:p w14:paraId="2A88D4CD" w14:textId="4B6A85D9" w:rsidR="1B42BC8D" w:rsidRDefault="1B42BC8D" w:rsidP="1B42BC8D">
      <w:pPr>
        <w:rPr>
          <w:sz w:val="18"/>
          <w:szCs w:val="18"/>
        </w:rPr>
      </w:pPr>
      <w:proofErr w:type="spellStart"/>
      <w:r w:rsidRPr="1B42BC8D">
        <w:rPr>
          <w:sz w:val="18"/>
          <w:szCs w:val="18"/>
          <w:vertAlign w:val="superscript"/>
        </w:rPr>
        <w:t>f</w:t>
      </w:r>
      <w:r w:rsidRPr="1B42BC8D">
        <w:rPr>
          <w:sz w:val="18"/>
          <w:szCs w:val="18"/>
        </w:rPr>
        <w:t>This</w:t>
      </w:r>
      <w:proofErr w:type="spellEnd"/>
      <w:r w:rsidRPr="1B42BC8D">
        <w:rPr>
          <w:sz w:val="18"/>
          <w:szCs w:val="18"/>
        </w:rPr>
        <w:t xml:space="preserve"> does not include Biological Abstracts, which has a higher cost/use because of data irregularities related to BIOSIS opt-in subscriptions.</w:t>
      </w:r>
    </w:p>
    <w:p w14:paraId="02F7D27D" w14:textId="3F5E89DC" w:rsidR="00810A31" w:rsidRPr="00CA49CA" w:rsidRDefault="1B42BC8D" w:rsidP="00D977B4">
      <w:pPr>
        <w:rPr>
          <w:sz w:val="18"/>
          <w:szCs w:val="18"/>
        </w:rPr>
      </w:pPr>
      <w:r w:rsidRPr="1B42BC8D">
        <w:rPr>
          <w:sz w:val="22"/>
          <w:szCs w:val="22"/>
          <w:vertAlign w:val="superscript"/>
        </w:rPr>
        <w:t>g</w:t>
      </w:r>
      <w:r w:rsidRPr="1B42BC8D">
        <w:rPr>
          <w:sz w:val="22"/>
          <w:szCs w:val="22"/>
        </w:rPr>
        <w:t xml:space="preserve"> </w:t>
      </w:r>
      <w:r w:rsidRPr="1B42BC8D">
        <w:rPr>
          <w:sz w:val="18"/>
          <w:szCs w:val="18"/>
        </w:rPr>
        <w:t xml:space="preserve">Because usage includes </w:t>
      </w:r>
      <w:r w:rsidR="00685D02">
        <w:rPr>
          <w:sz w:val="18"/>
          <w:szCs w:val="18"/>
        </w:rPr>
        <w:t xml:space="preserve">that for </w:t>
      </w:r>
      <w:r w:rsidRPr="1B42BC8D">
        <w:rPr>
          <w:sz w:val="18"/>
          <w:szCs w:val="18"/>
        </w:rPr>
        <w:t xml:space="preserve">titles in the upgraded packages (Academic Search Complete/Ultimate and/ or Business Source Complete/Ultimate) but </w:t>
      </w:r>
      <w:r w:rsidR="00685D02">
        <w:rPr>
          <w:sz w:val="18"/>
          <w:szCs w:val="18"/>
        </w:rPr>
        <w:t xml:space="preserve">because the </w:t>
      </w:r>
      <w:r w:rsidRPr="1B42BC8D">
        <w:rPr>
          <w:sz w:val="18"/>
          <w:szCs w:val="18"/>
        </w:rPr>
        <w:t xml:space="preserve">costs </w:t>
      </w:r>
      <w:r w:rsidR="00685D02">
        <w:rPr>
          <w:sz w:val="18"/>
          <w:szCs w:val="18"/>
        </w:rPr>
        <w:t xml:space="preserve">for the upgrade opt-ins </w:t>
      </w:r>
      <w:r w:rsidRPr="1B42BC8D">
        <w:rPr>
          <w:sz w:val="18"/>
          <w:szCs w:val="18"/>
        </w:rPr>
        <w:t xml:space="preserve">were not included, the cost/use </w:t>
      </w:r>
      <w:r w:rsidR="00685D02">
        <w:rPr>
          <w:sz w:val="18"/>
          <w:szCs w:val="18"/>
        </w:rPr>
        <w:t xml:space="preserve">shown </w:t>
      </w:r>
      <w:r w:rsidRPr="1B42BC8D">
        <w:rPr>
          <w:sz w:val="18"/>
          <w:szCs w:val="18"/>
        </w:rPr>
        <w:t>is lower than it wo</w:t>
      </w:r>
      <w:r w:rsidR="00685D02">
        <w:rPr>
          <w:sz w:val="18"/>
          <w:szCs w:val="18"/>
        </w:rPr>
        <w:t>uld be for what’s included in the</w:t>
      </w:r>
      <w:r w:rsidRPr="1B42BC8D">
        <w:rPr>
          <w:sz w:val="18"/>
          <w:szCs w:val="18"/>
        </w:rPr>
        <w:t xml:space="preserve"> ECC</w:t>
      </w:r>
      <w:r w:rsidR="00685D02">
        <w:rPr>
          <w:sz w:val="18"/>
          <w:szCs w:val="18"/>
        </w:rPr>
        <w:t>-paid</w:t>
      </w:r>
      <w:r w:rsidRPr="1B42BC8D">
        <w:rPr>
          <w:sz w:val="18"/>
          <w:szCs w:val="18"/>
        </w:rPr>
        <w:t xml:space="preserve"> package only. </w:t>
      </w:r>
    </w:p>
    <w:p w14:paraId="7150E263" w14:textId="1102CF84" w:rsidR="1B42BC8D" w:rsidRDefault="1B42BC8D" w:rsidP="1B42BC8D">
      <w:pPr>
        <w:rPr>
          <w:sz w:val="18"/>
          <w:szCs w:val="18"/>
        </w:rPr>
      </w:pPr>
      <w:proofErr w:type="spellStart"/>
      <w:r w:rsidRPr="1B42BC8D">
        <w:rPr>
          <w:sz w:val="18"/>
          <w:szCs w:val="18"/>
          <w:vertAlign w:val="superscript"/>
        </w:rPr>
        <w:t>h</w:t>
      </w:r>
      <w:r w:rsidRPr="1B42BC8D">
        <w:rPr>
          <w:sz w:val="18"/>
          <w:szCs w:val="18"/>
        </w:rPr>
        <w:t>Most</w:t>
      </w:r>
      <w:proofErr w:type="spellEnd"/>
      <w:r w:rsidRPr="1B42BC8D">
        <w:rPr>
          <w:sz w:val="18"/>
          <w:szCs w:val="18"/>
        </w:rPr>
        <w:t xml:space="preserve"> of the usage in this package is journal articles, but business librarians point to the value of non-journal material in </w:t>
      </w:r>
      <w:r w:rsidRPr="1B42BC8D">
        <w:rPr>
          <w:i/>
          <w:iCs/>
          <w:sz w:val="18"/>
          <w:szCs w:val="18"/>
        </w:rPr>
        <w:t>Business Source Premier</w:t>
      </w:r>
      <w:r w:rsidRPr="1B42BC8D">
        <w:rPr>
          <w:sz w:val="18"/>
          <w:szCs w:val="18"/>
        </w:rPr>
        <w:t>. EBSCO has been unable to provide BSP usage data in a format that allows for title-level analysis of non-journal titles by campus. Additionally, EBSCO’s lack of title-level unique identifiers (ISSNs) for many titles hinders value assessment of the individual databases in this package.</w:t>
      </w:r>
    </w:p>
    <w:p w14:paraId="7E96044A" w14:textId="3A41EF20" w:rsidR="1B42BC8D" w:rsidRDefault="1B42BC8D" w:rsidP="1B42BC8D">
      <w:pPr>
        <w:rPr>
          <w:sz w:val="18"/>
          <w:szCs w:val="18"/>
        </w:rPr>
      </w:pPr>
    </w:p>
    <w:p w14:paraId="780CA361" w14:textId="77777777" w:rsidR="008043CD" w:rsidRDefault="008043CD" w:rsidP="002F1D74">
      <w:pPr>
        <w:rPr>
          <w:sz w:val="18"/>
          <w:szCs w:val="18"/>
        </w:rPr>
      </w:pPr>
    </w:p>
    <w:p w14:paraId="17E4B50E" w14:textId="77777777" w:rsidR="008043CD" w:rsidRDefault="008043CD" w:rsidP="002F1D74">
      <w:pPr>
        <w:rPr>
          <w:sz w:val="18"/>
          <w:szCs w:val="18"/>
        </w:rPr>
      </w:pPr>
    </w:p>
    <w:p w14:paraId="3C029475" w14:textId="77777777" w:rsidR="008043CD" w:rsidRDefault="008043CD" w:rsidP="002F1D74">
      <w:pPr>
        <w:rPr>
          <w:sz w:val="18"/>
          <w:szCs w:val="18"/>
        </w:rPr>
      </w:pPr>
    </w:p>
    <w:p w14:paraId="4A061316" w14:textId="77777777" w:rsidR="008043CD" w:rsidRDefault="008043CD" w:rsidP="002F1D74">
      <w:pPr>
        <w:rPr>
          <w:sz w:val="18"/>
          <w:szCs w:val="18"/>
        </w:rPr>
      </w:pPr>
    </w:p>
    <w:p w14:paraId="661710E0" w14:textId="77777777" w:rsidR="008043CD" w:rsidRDefault="008043CD" w:rsidP="002F1D74">
      <w:pPr>
        <w:rPr>
          <w:sz w:val="18"/>
          <w:szCs w:val="18"/>
        </w:rPr>
      </w:pPr>
    </w:p>
    <w:p w14:paraId="1DEF5212" w14:textId="77777777" w:rsidR="008043CD" w:rsidRDefault="008043CD" w:rsidP="002F1D74">
      <w:pPr>
        <w:rPr>
          <w:sz w:val="18"/>
          <w:szCs w:val="18"/>
        </w:rPr>
      </w:pPr>
    </w:p>
    <w:sectPr w:rsidR="008043CD" w:rsidSect="00BF5BBA">
      <w:headerReference w:type="default" r:id="rId13"/>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EEAD" w14:textId="77777777" w:rsidR="001A5AAA" w:rsidRDefault="001A5AAA" w:rsidP="000D7A51">
      <w:r>
        <w:separator/>
      </w:r>
    </w:p>
  </w:endnote>
  <w:endnote w:type="continuationSeparator" w:id="0">
    <w:p w14:paraId="71D89F88" w14:textId="77777777" w:rsidR="001A5AAA" w:rsidRDefault="001A5AAA" w:rsidP="000D7A51">
      <w:r>
        <w:continuationSeparator/>
      </w:r>
    </w:p>
  </w:endnote>
  <w:endnote w:type="continuationNotice" w:id="1">
    <w:p w14:paraId="57C6F899" w14:textId="77777777" w:rsidR="001A5AAA" w:rsidRDefault="001A5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8"/>
      <w:gridCol w:w="3408"/>
      <w:gridCol w:w="3408"/>
    </w:tblGrid>
    <w:tr w:rsidR="582FBBDA" w14:paraId="12530DD2" w14:textId="77777777" w:rsidTr="582FBBDA">
      <w:tc>
        <w:tcPr>
          <w:tcW w:w="3408" w:type="dxa"/>
        </w:tcPr>
        <w:p w14:paraId="5AA48ABC" w14:textId="0D10108C" w:rsidR="582FBBDA" w:rsidRDefault="582FBBDA" w:rsidP="582FBBDA">
          <w:pPr>
            <w:pStyle w:val="Header"/>
            <w:ind w:left="-115"/>
          </w:pPr>
        </w:p>
      </w:tc>
      <w:tc>
        <w:tcPr>
          <w:tcW w:w="3408" w:type="dxa"/>
        </w:tcPr>
        <w:p w14:paraId="4D5BD83D" w14:textId="3366FA40" w:rsidR="582FBBDA" w:rsidRDefault="582FBBDA" w:rsidP="582FBBDA">
          <w:pPr>
            <w:pStyle w:val="Header"/>
            <w:jc w:val="center"/>
          </w:pPr>
        </w:p>
      </w:tc>
      <w:tc>
        <w:tcPr>
          <w:tcW w:w="3408" w:type="dxa"/>
        </w:tcPr>
        <w:p w14:paraId="2993AFAB" w14:textId="179D03E3" w:rsidR="582FBBDA" w:rsidRDefault="582FBBDA" w:rsidP="582FBBDA">
          <w:pPr>
            <w:pStyle w:val="Header"/>
            <w:ind w:right="-115"/>
            <w:jc w:val="right"/>
          </w:pPr>
        </w:p>
      </w:tc>
    </w:tr>
  </w:tbl>
  <w:p w14:paraId="3A694B03" w14:textId="05E57128" w:rsidR="582FBBDA" w:rsidRDefault="582FBBDA" w:rsidP="582FB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06CE6" w14:textId="77777777" w:rsidR="001A5AAA" w:rsidRDefault="001A5AAA" w:rsidP="000D7A51">
      <w:r>
        <w:separator/>
      </w:r>
    </w:p>
  </w:footnote>
  <w:footnote w:type="continuationSeparator" w:id="0">
    <w:p w14:paraId="6ED8D666" w14:textId="77777777" w:rsidR="001A5AAA" w:rsidRDefault="001A5AAA" w:rsidP="000D7A51">
      <w:r>
        <w:continuationSeparator/>
      </w:r>
    </w:p>
  </w:footnote>
  <w:footnote w:type="continuationNotice" w:id="1">
    <w:p w14:paraId="6B9D0CE5" w14:textId="77777777" w:rsidR="001A5AAA" w:rsidRDefault="001A5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8"/>
      <w:gridCol w:w="3408"/>
      <w:gridCol w:w="3408"/>
    </w:tblGrid>
    <w:tr w:rsidR="582FBBDA" w14:paraId="4F3F7D1E" w14:textId="77777777" w:rsidTr="582FBBDA">
      <w:tc>
        <w:tcPr>
          <w:tcW w:w="3408" w:type="dxa"/>
        </w:tcPr>
        <w:p w14:paraId="1F4CA46C" w14:textId="4A2E2E35" w:rsidR="582FBBDA" w:rsidRDefault="582FBBDA" w:rsidP="582FBBDA">
          <w:pPr>
            <w:pStyle w:val="Header"/>
            <w:ind w:left="-115"/>
          </w:pPr>
        </w:p>
      </w:tc>
      <w:tc>
        <w:tcPr>
          <w:tcW w:w="3408" w:type="dxa"/>
        </w:tcPr>
        <w:p w14:paraId="09ACE48A" w14:textId="1267CC3A" w:rsidR="582FBBDA" w:rsidRDefault="582FBBDA" w:rsidP="582FBBDA">
          <w:pPr>
            <w:pStyle w:val="Header"/>
            <w:jc w:val="center"/>
          </w:pPr>
        </w:p>
      </w:tc>
      <w:tc>
        <w:tcPr>
          <w:tcW w:w="3408" w:type="dxa"/>
        </w:tcPr>
        <w:p w14:paraId="6E1FFDB0" w14:textId="148DF8BE" w:rsidR="582FBBDA" w:rsidRDefault="582FBBDA" w:rsidP="582FBBDA">
          <w:pPr>
            <w:pStyle w:val="Header"/>
            <w:ind w:right="-115"/>
            <w:jc w:val="right"/>
          </w:pPr>
        </w:p>
      </w:tc>
    </w:tr>
  </w:tbl>
  <w:p w14:paraId="0E9963D8" w14:textId="6C5CF744" w:rsidR="582FBBDA" w:rsidRDefault="582FBBDA" w:rsidP="582FB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0B7C"/>
    <w:multiLevelType w:val="hybridMultilevel"/>
    <w:tmpl w:val="8A2C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76B75"/>
    <w:multiLevelType w:val="hybridMultilevel"/>
    <w:tmpl w:val="641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0A02"/>
    <w:multiLevelType w:val="hybridMultilevel"/>
    <w:tmpl w:val="6050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D3E82"/>
    <w:multiLevelType w:val="hybridMultilevel"/>
    <w:tmpl w:val="9104D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236285"/>
    <w:multiLevelType w:val="hybridMultilevel"/>
    <w:tmpl w:val="CB041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8232BF"/>
    <w:multiLevelType w:val="hybridMultilevel"/>
    <w:tmpl w:val="0FE05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824BE"/>
    <w:multiLevelType w:val="hybridMultilevel"/>
    <w:tmpl w:val="907A3234"/>
    <w:lvl w:ilvl="0" w:tplc="53183CAA">
      <w:start w:val="1"/>
      <w:numFmt w:val="bullet"/>
      <w:lvlText w:val=""/>
      <w:lvlJc w:val="left"/>
      <w:pPr>
        <w:ind w:left="720" w:hanging="360"/>
      </w:pPr>
      <w:rPr>
        <w:rFonts w:ascii="Symbol" w:hAnsi="Symbol" w:hint="default"/>
      </w:rPr>
    </w:lvl>
    <w:lvl w:ilvl="1" w:tplc="DA9C3E36">
      <w:start w:val="1"/>
      <w:numFmt w:val="bullet"/>
      <w:lvlText w:val="o"/>
      <w:lvlJc w:val="left"/>
      <w:pPr>
        <w:ind w:left="1440" w:hanging="360"/>
      </w:pPr>
      <w:rPr>
        <w:rFonts w:ascii="Courier New" w:hAnsi="Courier New" w:hint="default"/>
      </w:rPr>
    </w:lvl>
    <w:lvl w:ilvl="2" w:tplc="01BCE8F2">
      <w:start w:val="1"/>
      <w:numFmt w:val="bullet"/>
      <w:lvlText w:val=""/>
      <w:lvlJc w:val="left"/>
      <w:pPr>
        <w:ind w:left="2160" w:hanging="360"/>
      </w:pPr>
      <w:rPr>
        <w:rFonts w:ascii="Wingdings" w:hAnsi="Wingdings" w:hint="default"/>
      </w:rPr>
    </w:lvl>
    <w:lvl w:ilvl="3" w:tplc="3A229596">
      <w:start w:val="1"/>
      <w:numFmt w:val="bullet"/>
      <w:lvlText w:val=""/>
      <w:lvlJc w:val="left"/>
      <w:pPr>
        <w:ind w:left="2880" w:hanging="360"/>
      </w:pPr>
      <w:rPr>
        <w:rFonts w:ascii="Symbol" w:hAnsi="Symbol" w:hint="default"/>
      </w:rPr>
    </w:lvl>
    <w:lvl w:ilvl="4" w:tplc="20FEFFE2">
      <w:start w:val="1"/>
      <w:numFmt w:val="bullet"/>
      <w:lvlText w:val="o"/>
      <w:lvlJc w:val="left"/>
      <w:pPr>
        <w:ind w:left="3600" w:hanging="360"/>
      </w:pPr>
      <w:rPr>
        <w:rFonts w:ascii="Courier New" w:hAnsi="Courier New" w:hint="default"/>
      </w:rPr>
    </w:lvl>
    <w:lvl w:ilvl="5" w:tplc="20943340">
      <w:start w:val="1"/>
      <w:numFmt w:val="bullet"/>
      <w:lvlText w:val=""/>
      <w:lvlJc w:val="left"/>
      <w:pPr>
        <w:ind w:left="4320" w:hanging="360"/>
      </w:pPr>
      <w:rPr>
        <w:rFonts w:ascii="Wingdings" w:hAnsi="Wingdings" w:hint="default"/>
      </w:rPr>
    </w:lvl>
    <w:lvl w:ilvl="6" w:tplc="89D4F984">
      <w:start w:val="1"/>
      <w:numFmt w:val="bullet"/>
      <w:lvlText w:val=""/>
      <w:lvlJc w:val="left"/>
      <w:pPr>
        <w:ind w:left="5040" w:hanging="360"/>
      </w:pPr>
      <w:rPr>
        <w:rFonts w:ascii="Symbol" w:hAnsi="Symbol" w:hint="default"/>
      </w:rPr>
    </w:lvl>
    <w:lvl w:ilvl="7" w:tplc="C06ED0C6">
      <w:start w:val="1"/>
      <w:numFmt w:val="bullet"/>
      <w:lvlText w:val="o"/>
      <w:lvlJc w:val="left"/>
      <w:pPr>
        <w:ind w:left="5760" w:hanging="360"/>
      </w:pPr>
      <w:rPr>
        <w:rFonts w:ascii="Courier New" w:hAnsi="Courier New" w:hint="default"/>
      </w:rPr>
    </w:lvl>
    <w:lvl w:ilvl="8" w:tplc="C66244C8">
      <w:start w:val="1"/>
      <w:numFmt w:val="bullet"/>
      <w:lvlText w:val=""/>
      <w:lvlJc w:val="left"/>
      <w:pPr>
        <w:ind w:left="6480" w:hanging="360"/>
      </w:pPr>
      <w:rPr>
        <w:rFonts w:ascii="Wingdings" w:hAnsi="Wingdings" w:hint="default"/>
      </w:rPr>
    </w:lvl>
  </w:abstractNum>
  <w:abstractNum w:abstractNumId="7" w15:restartNumberingAfterBreak="0">
    <w:nsid w:val="51113008"/>
    <w:multiLevelType w:val="hybridMultilevel"/>
    <w:tmpl w:val="ACA6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E4DB7"/>
    <w:multiLevelType w:val="hybridMultilevel"/>
    <w:tmpl w:val="4C48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4"/>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585"/>
    <w:rsid w:val="00002E57"/>
    <w:rsid w:val="0001729C"/>
    <w:rsid w:val="00025E37"/>
    <w:rsid w:val="000314FF"/>
    <w:rsid w:val="00035CAB"/>
    <w:rsid w:val="00036203"/>
    <w:rsid w:val="00037678"/>
    <w:rsid w:val="00056A45"/>
    <w:rsid w:val="000579B2"/>
    <w:rsid w:val="00072309"/>
    <w:rsid w:val="00073A53"/>
    <w:rsid w:val="00084277"/>
    <w:rsid w:val="00084861"/>
    <w:rsid w:val="000A0720"/>
    <w:rsid w:val="000A25EA"/>
    <w:rsid w:val="000B06C4"/>
    <w:rsid w:val="000B0AC8"/>
    <w:rsid w:val="000B3F22"/>
    <w:rsid w:val="000C4D7F"/>
    <w:rsid w:val="000D19C2"/>
    <w:rsid w:val="000D7409"/>
    <w:rsid w:val="000D7A51"/>
    <w:rsid w:val="000E31CE"/>
    <w:rsid w:val="000F38DA"/>
    <w:rsid w:val="0011642F"/>
    <w:rsid w:val="00125490"/>
    <w:rsid w:val="001332A1"/>
    <w:rsid w:val="00144C53"/>
    <w:rsid w:val="0015368F"/>
    <w:rsid w:val="00155A1B"/>
    <w:rsid w:val="00157ADC"/>
    <w:rsid w:val="0016621E"/>
    <w:rsid w:val="001727B5"/>
    <w:rsid w:val="00172B2C"/>
    <w:rsid w:val="0017362A"/>
    <w:rsid w:val="001846FC"/>
    <w:rsid w:val="001A0A34"/>
    <w:rsid w:val="001A33C4"/>
    <w:rsid w:val="001A5AAA"/>
    <w:rsid w:val="001B40FF"/>
    <w:rsid w:val="001E5D46"/>
    <w:rsid w:val="001E7AEC"/>
    <w:rsid w:val="001F0064"/>
    <w:rsid w:val="002036C2"/>
    <w:rsid w:val="00206169"/>
    <w:rsid w:val="002327DF"/>
    <w:rsid w:val="002355D7"/>
    <w:rsid w:val="00255132"/>
    <w:rsid w:val="0026029E"/>
    <w:rsid w:val="002643D9"/>
    <w:rsid w:val="00267033"/>
    <w:rsid w:val="00280959"/>
    <w:rsid w:val="00285292"/>
    <w:rsid w:val="002861CC"/>
    <w:rsid w:val="002878D5"/>
    <w:rsid w:val="00291BA6"/>
    <w:rsid w:val="002A43C9"/>
    <w:rsid w:val="002B3182"/>
    <w:rsid w:val="002B6C16"/>
    <w:rsid w:val="002D0D36"/>
    <w:rsid w:val="002E5B84"/>
    <w:rsid w:val="002F12B9"/>
    <w:rsid w:val="002F1D74"/>
    <w:rsid w:val="002F3750"/>
    <w:rsid w:val="002F3B76"/>
    <w:rsid w:val="002F71AB"/>
    <w:rsid w:val="00303902"/>
    <w:rsid w:val="00322AC5"/>
    <w:rsid w:val="00337F08"/>
    <w:rsid w:val="003464D5"/>
    <w:rsid w:val="00346523"/>
    <w:rsid w:val="00346DCE"/>
    <w:rsid w:val="00353F07"/>
    <w:rsid w:val="00361F2C"/>
    <w:rsid w:val="003663AE"/>
    <w:rsid w:val="00366C75"/>
    <w:rsid w:val="0037048A"/>
    <w:rsid w:val="003717C7"/>
    <w:rsid w:val="00374FE7"/>
    <w:rsid w:val="00382C89"/>
    <w:rsid w:val="00391AA4"/>
    <w:rsid w:val="00393108"/>
    <w:rsid w:val="003951E0"/>
    <w:rsid w:val="003B0D26"/>
    <w:rsid w:val="003B3283"/>
    <w:rsid w:val="003B4CF5"/>
    <w:rsid w:val="003D16CF"/>
    <w:rsid w:val="003E26AD"/>
    <w:rsid w:val="003F79B0"/>
    <w:rsid w:val="0043776C"/>
    <w:rsid w:val="00445BD3"/>
    <w:rsid w:val="004516FF"/>
    <w:rsid w:val="00453B50"/>
    <w:rsid w:val="0046181F"/>
    <w:rsid w:val="0047215D"/>
    <w:rsid w:val="004A57D2"/>
    <w:rsid w:val="004B0381"/>
    <w:rsid w:val="004B1A3C"/>
    <w:rsid w:val="004C2484"/>
    <w:rsid w:val="004E1F75"/>
    <w:rsid w:val="004E6951"/>
    <w:rsid w:val="004F606D"/>
    <w:rsid w:val="0050108C"/>
    <w:rsid w:val="00502445"/>
    <w:rsid w:val="005121F2"/>
    <w:rsid w:val="0051496E"/>
    <w:rsid w:val="005242D1"/>
    <w:rsid w:val="00527671"/>
    <w:rsid w:val="005300E5"/>
    <w:rsid w:val="0053546D"/>
    <w:rsid w:val="00581C73"/>
    <w:rsid w:val="00591EF6"/>
    <w:rsid w:val="005972A6"/>
    <w:rsid w:val="005A6D49"/>
    <w:rsid w:val="005B45C8"/>
    <w:rsid w:val="005C585B"/>
    <w:rsid w:val="005E760A"/>
    <w:rsid w:val="005F56CA"/>
    <w:rsid w:val="005F793B"/>
    <w:rsid w:val="00603B0C"/>
    <w:rsid w:val="00603B31"/>
    <w:rsid w:val="006139A4"/>
    <w:rsid w:val="006151A3"/>
    <w:rsid w:val="00620B1F"/>
    <w:rsid w:val="00624CD9"/>
    <w:rsid w:val="00626B93"/>
    <w:rsid w:val="00635F09"/>
    <w:rsid w:val="00646047"/>
    <w:rsid w:val="00646DCC"/>
    <w:rsid w:val="00652487"/>
    <w:rsid w:val="00656145"/>
    <w:rsid w:val="00657C1E"/>
    <w:rsid w:val="00666227"/>
    <w:rsid w:val="00685D02"/>
    <w:rsid w:val="00693CCC"/>
    <w:rsid w:val="006960AC"/>
    <w:rsid w:val="006A5C7E"/>
    <w:rsid w:val="006B0DE8"/>
    <w:rsid w:val="006B1FD6"/>
    <w:rsid w:val="006B55BF"/>
    <w:rsid w:val="006C14B8"/>
    <w:rsid w:val="006C6C93"/>
    <w:rsid w:val="006D01B7"/>
    <w:rsid w:val="006D1394"/>
    <w:rsid w:val="006E08B4"/>
    <w:rsid w:val="006E4FE2"/>
    <w:rsid w:val="006F3F01"/>
    <w:rsid w:val="0070311F"/>
    <w:rsid w:val="00703C9E"/>
    <w:rsid w:val="00716559"/>
    <w:rsid w:val="007201B3"/>
    <w:rsid w:val="007441D9"/>
    <w:rsid w:val="00770931"/>
    <w:rsid w:val="007824BA"/>
    <w:rsid w:val="007833E5"/>
    <w:rsid w:val="00795D85"/>
    <w:rsid w:val="007A392E"/>
    <w:rsid w:val="007B0759"/>
    <w:rsid w:val="007D050E"/>
    <w:rsid w:val="007E7D79"/>
    <w:rsid w:val="007F18EF"/>
    <w:rsid w:val="007F4A58"/>
    <w:rsid w:val="00800929"/>
    <w:rsid w:val="008043CD"/>
    <w:rsid w:val="00810063"/>
    <w:rsid w:val="00810A31"/>
    <w:rsid w:val="00817AF3"/>
    <w:rsid w:val="0082134E"/>
    <w:rsid w:val="008229CF"/>
    <w:rsid w:val="00825CCA"/>
    <w:rsid w:val="00870928"/>
    <w:rsid w:val="00895ACE"/>
    <w:rsid w:val="008A2459"/>
    <w:rsid w:val="008B5F51"/>
    <w:rsid w:val="008B739E"/>
    <w:rsid w:val="008C1C80"/>
    <w:rsid w:val="008C2054"/>
    <w:rsid w:val="008D490B"/>
    <w:rsid w:val="008E0124"/>
    <w:rsid w:val="008E1FDA"/>
    <w:rsid w:val="008E28A7"/>
    <w:rsid w:val="008F6DA1"/>
    <w:rsid w:val="008F7FF9"/>
    <w:rsid w:val="00903068"/>
    <w:rsid w:val="0091289D"/>
    <w:rsid w:val="009313E2"/>
    <w:rsid w:val="009424CC"/>
    <w:rsid w:val="0094290E"/>
    <w:rsid w:val="00977F56"/>
    <w:rsid w:val="00980580"/>
    <w:rsid w:val="00983350"/>
    <w:rsid w:val="00983CC6"/>
    <w:rsid w:val="009952DD"/>
    <w:rsid w:val="009A1F96"/>
    <w:rsid w:val="009B7BD0"/>
    <w:rsid w:val="009D5DF4"/>
    <w:rsid w:val="009D6660"/>
    <w:rsid w:val="009E7C2A"/>
    <w:rsid w:val="009F0888"/>
    <w:rsid w:val="009F1327"/>
    <w:rsid w:val="00A21098"/>
    <w:rsid w:val="00A24CBA"/>
    <w:rsid w:val="00A35F8F"/>
    <w:rsid w:val="00A42414"/>
    <w:rsid w:val="00A47DAC"/>
    <w:rsid w:val="00A521BD"/>
    <w:rsid w:val="00A553A1"/>
    <w:rsid w:val="00A64F4F"/>
    <w:rsid w:val="00A66222"/>
    <w:rsid w:val="00A70B26"/>
    <w:rsid w:val="00A76B0F"/>
    <w:rsid w:val="00A839F4"/>
    <w:rsid w:val="00A95947"/>
    <w:rsid w:val="00AB7BD9"/>
    <w:rsid w:val="00AC6198"/>
    <w:rsid w:val="00AD0AFD"/>
    <w:rsid w:val="00AD104E"/>
    <w:rsid w:val="00AD5736"/>
    <w:rsid w:val="00AE14B0"/>
    <w:rsid w:val="00AE3EF8"/>
    <w:rsid w:val="00AE50E1"/>
    <w:rsid w:val="00AE7791"/>
    <w:rsid w:val="00AF57AE"/>
    <w:rsid w:val="00B046B4"/>
    <w:rsid w:val="00B04E0F"/>
    <w:rsid w:val="00B0703F"/>
    <w:rsid w:val="00B10B5F"/>
    <w:rsid w:val="00B11508"/>
    <w:rsid w:val="00B1391B"/>
    <w:rsid w:val="00B152E1"/>
    <w:rsid w:val="00B219F9"/>
    <w:rsid w:val="00B27100"/>
    <w:rsid w:val="00B347BF"/>
    <w:rsid w:val="00B34CF9"/>
    <w:rsid w:val="00B5035E"/>
    <w:rsid w:val="00B52064"/>
    <w:rsid w:val="00B600ED"/>
    <w:rsid w:val="00B75038"/>
    <w:rsid w:val="00B77D38"/>
    <w:rsid w:val="00B85F2E"/>
    <w:rsid w:val="00B876C0"/>
    <w:rsid w:val="00BA0A4C"/>
    <w:rsid w:val="00BA0E9D"/>
    <w:rsid w:val="00BA732B"/>
    <w:rsid w:val="00BC3D6B"/>
    <w:rsid w:val="00BC4F11"/>
    <w:rsid w:val="00BD2B74"/>
    <w:rsid w:val="00BD4B3A"/>
    <w:rsid w:val="00BF5BBA"/>
    <w:rsid w:val="00C03353"/>
    <w:rsid w:val="00C037DD"/>
    <w:rsid w:val="00C1116E"/>
    <w:rsid w:val="00C27B53"/>
    <w:rsid w:val="00C37074"/>
    <w:rsid w:val="00C51221"/>
    <w:rsid w:val="00C53721"/>
    <w:rsid w:val="00C60E9A"/>
    <w:rsid w:val="00C7339D"/>
    <w:rsid w:val="00C80B47"/>
    <w:rsid w:val="00C81283"/>
    <w:rsid w:val="00C814DF"/>
    <w:rsid w:val="00C835D7"/>
    <w:rsid w:val="00C846E6"/>
    <w:rsid w:val="00C91B8B"/>
    <w:rsid w:val="00CA49CA"/>
    <w:rsid w:val="00CB77D0"/>
    <w:rsid w:val="00CD343E"/>
    <w:rsid w:val="00CE0100"/>
    <w:rsid w:val="00CE1CC0"/>
    <w:rsid w:val="00CE4FB9"/>
    <w:rsid w:val="00CE5341"/>
    <w:rsid w:val="00CE6831"/>
    <w:rsid w:val="00CF2CFA"/>
    <w:rsid w:val="00CF377A"/>
    <w:rsid w:val="00D043B6"/>
    <w:rsid w:val="00D10585"/>
    <w:rsid w:val="00D15220"/>
    <w:rsid w:val="00D23BE5"/>
    <w:rsid w:val="00D26A95"/>
    <w:rsid w:val="00D43317"/>
    <w:rsid w:val="00D435B3"/>
    <w:rsid w:val="00D437DD"/>
    <w:rsid w:val="00D46F83"/>
    <w:rsid w:val="00D54CF8"/>
    <w:rsid w:val="00D55A00"/>
    <w:rsid w:val="00D6637D"/>
    <w:rsid w:val="00D71A52"/>
    <w:rsid w:val="00D73F6B"/>
    <w:rsid w:val="00D76D7A"/>
    <w:rsid w:val="00D8532B"/>
    <w:rsid w:val="00D919F2"/>
    <w:rsid w:val="00D9602B"/>
    <w:rsid w:val="00D977B4"/>
    <w:rsid w:val="00DA6F11"/>
    <w:rsid w:val="00DB6836"/>
    <w:rsid w:val="00DC6B78"/>
    <w:rsid w:val="00DE16CA"/>
    <w:rsid w:val="00DF307B"/>
    <w:rsid w:val="00E0496A"/>
    <w:rsid w:val="00E04B65"/>
    <w:rsid w:val="00E076E4"/>
    <w:rsid w:val="00E10DBD"/>
    <w:rsid w:val="00E129F6"/>
    <w:rsid w:val="00E1621C"/>
    <w:rsid w:val="00E2533C"/>
    <w:rsid w:val="00E4759F"/>
    <w:rsid w:val="00E50C59"/>
    <w:rsid w:val="00E623B6"/>
    <w:rsid w:val="00E76E36"/>
    <w:rsid w:val="00E80D21"/>
    <w:rsid w:val="00E811ED"/>
    <w:rsid w:val="00E91C8F"/>
    <w:rsid w:val="00EA18F3"/>
    <w:rsid w:val="00EA4C98"/>
    <w:rsid w:val="00EB5405"/>
    <w:rsid w:val="00EB7B62"/>
    <w:rsid w:val="00EC5817"/>
    <w:rsid w:val="00EC7CCE"/>
    <w:rsid w:val="00ED1916"/>
    <w:rsid w:val="00EE0D7A"/>
    <w:rsid w:val="00EE3940"/>
    <w:rsid w:val="00EF7F24"/>
    <w:rsid w:val="00F20108"/>
    <w:rsid w:val="00F27CD0"/>
    <w:rsid w:val="00F34358"/>
    <w:rsid w:val="00F40BF7"/>
    <w:rsid w:val="00F64DEC"/>
    <w:rsid w:val="00F656D6"/>
    <w:rsid w:val="00F80CDD"/>
    <w:rsid w:val="00F81580"/>
    <w:rsid w:val="00F93B0F"/>
    <w:rsid w:val="00FA5299"/>
    <w:rsid w:val="00FB40D8"/>
    <w:rsid w:val="0381C8B4"/>
    <w:rsid w:val="105106C5"/>
    <w:rsid w:val="1B42BC8D"/>
    <w:rsid w:val="26D8CBB2"/>
    <w:rsid w:val="2E16DD86"/>
    <w:rsid w:val="4B394920"/>
    <w:rsid w:val="4C52EA78"/>
    <w:rsid w:val="5629D957"/>
    <w:rsid w:val="578D8EC5"/>
    <w:rsid w:val="582FBBDA"/>
    <w:rsid w:val="6596741D"/>
    <w:rsid w:val="68998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62E7"/>
  <w14:defaultImageDpi w14:val="32767"/>
  <w15:docId w15:val="{CD4E2958-97E7-496F-932D-96791AC8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3D9"/>
    <w:pPr>
      <w:ind w:left="720"/>
      <w:contextualSpacing/>
    </w:pPr>
  </w:style>
  <w:style w:type="character" w:styleId="Hyperlink">
    <w:name w:val="Hyperlink"/>
    <w:basedOn w:val="DefaultParagraphFont"/>
    <w:uiPriority w:val="99"/>
    <w:unhideWhenUsed/>
    <w:rsid w:val="00E4759F"/>
    <w:rPr>
      <w:color w:val="0563C1" w:themeColor="hyperlink"/>
      <w:u w:val="single"/>
    </w:rPr>
  </w:style>
  <w:style w:type="character" w:styleId="CommentReference">
    <w:name w:val="annotation reference"/>
    <w:basedOn w:val="DefaultParagraphFont"/>
    <w:uiPriority w:val="99"/>
    <w:semiHidden/>
    <w:unhideWhenUsed/>
    <w:rsid w:val="002A43C9"/>
    <w:rPr>
      <w:sz w:val="16"/>
      <w:szCs w:val="16"/>
    </w:rPr>
  </w:style>
  <w:style w:type="paragraph" w:styleId="CommentText">
    <w:name w:val="annotation text"/>
    <w:basedOn w:val="Normal"/>
    <w:link w:val="CommentTextChar"/>
    <w:uiPriority w:val="99"/>
    <w:semiHidden/>
    <w:unhideWhenUsed/>
    <w:rsid w:val="002A43C9"/>
    <w:rPr>
      <w:sz w:val="20"/>
      <w:szCs w:val="20"/>
    </w:rPr>
  </w:style>
  <w:style w:type="character" w:customStyle="1" w:styleId="CommentTextChar">
    <w:name w:val="Comment Text Char"/>
    <w:basedOn w:val="DefaultParagraphFont"/>
    <w:link w:val="CommentText"/>
    <w:uiPriority w:val="99"/>
    <w:semiHidden/>
    <w:rsid w:val="002A43C9"/>
    <w:rPr>
      <w:sz w:val="20"/>
      <w:szCs w:val="20"/>
    </w:rPr>
  </w:style>
  <w:style w:type="paragraph" w:styleId="CommentSubject">
    <w:name w:val="annotation subject"/>
    <w:basedOn w:val="CommentText"/>
    <w:next w:val="CommentText"/>
    <w:link w:val="CommentSubjectChar"/>
    <w:uiPriority w:val="99"/>
    <w:semiHidden/>
    <w:unhideWhenUsed/>
    <w:rsid w:val="002A43C9"/>
    <w:rPr>
      <w:b/>
      <w:bCs/>
    </w:rPr>
  </w:style>
  <w:style w:type="character" w:customStyle="1" w:styleId="CommentSubjectChar">
    <w:name w:val="Comment Subject Char"/>
    <w:basedOn w:val="CommentTextChar"/>
    <w:link w:val="CommentSubject"/>
    <w:uiPriority w:val="99"/>
    <w:semiHidden/>
    <w:rsid w:val="002A43C9"/>
    <w:rPr>
      <w:b/>
      <w:bCs/>
      <w:sz w:val="20"/>
      <w:szCs w:val="20"/>
    </w:rPr>
  </w:style>
  <w:style w:type="paragraph" w:styleId="BalloonText">
    <w:name w:val="Balloon Text"/>
    <w:basedOn w:val="Normal"/>
    <w:link w:val="BalloonTextChar"/>
    <w:uiPriority w:val="99"/>
    <w:semiHidden/>
    <w:unhideWhenUsed/>
    <w:rsid w:val="002A43C9"/>
    <w:rPr>
      <w:rFonts w:ascii="Tahoma" w:hAnsi="Tahoma" w:cs="Tahoma"/>
      <w:sz w:val="16"/>
      <w:szCs w:val="16"/>
    </w:rPr>
  </w:style>
  <w:style w:type="character" w:customStyle="1" w:styleId="BalloonTextChar">
    <w:name w:val="Balloon Text Char"/>
    <w:basedOn w:val="DefaultParagraphFont"/>
    <w:link w:val="BalloonText"/>
    <w:uiPriority w:val="99"/>
    <w:semiHidden/>
    <w:rsid w:val="002A43C9"/>
    <w:rPr>
      <w:rFonts w:ascii="Tahoma" w:hAnsi="Tahoma" w:cs="Tahoma"/>
      <w:sz w:val="16"/>
      <w:szCs w:val="16"/>
    </w:rPr>
  </w:style>
  <w:style w:type="paragraph" w:styleId="EndnoteText">
    <w:name w:val="endnote text"/>
    <w:basedOn w:val="Normal"/>
    <w:link w:val="EndnoteTextChar"/>
    <w:uiPriority w:val="99"/>
    <w:semiHidden/>
    <w:unhideWhenUsed/>
    <w:rsid w:val="000D7A51"/>
    <w:rPr>
      <w:sz w:val="20"/>
      <w:szCs w:val="20"/>
    </w:rPr>
  </w:style>
  <w:style w:type="character" w:customStyle="1" w:styleId="EndnoteTextChar">
    <w:name w:val="Endnote Text Char"/>
    <w:basedOn w:val="DefaultParagraphFont"/>
    <w:link w:val="EndnoteText"/>
    <w:uiPriority w:val="99"/>
    <w:semiHidden/>
    <w:rsid w:val="000D7A51"/>
    <w:rPr>
      <w:sz w:val="20"/>
      <w:szCs w:val="20"/>
    </w:rPr>
  </w:style>
  <w:style w:type="character" w:styleId="EndnoteReference">
    <w:name w:val="endnote reference"/>
    <w:basedOn w:val="DefaultParagraphFont"/>
    <w:uiPriority w:val="99"/>
    <w:semiHidden/>
    <w:unhideWhenUsed/>
    <w:rsid w:val="000D7A51"/>
    <w:rPr>
      <w:vertAlign w:val="superscript"/>
    </w:rPr>
  </w:style>
  <w:style w:type="paragraph" w:styleId="FootnoteText">
    <w:name w:val="footnote text"/>
    <w:basedOn w:val="Normal"/>
    <w:link w:val="FootnoteTextChar"/>
    <w:uiPriority w:val="99"/>
    <w:semiHidden/>
    <w:unhideWhenUsed/>
    <w:rsid w:val="00AE14B0"/>
    <w:rPr>
      <w:sz w:val="20"/>
      <w:szCs w:val="20"/>
    </w:rPr>
  </w:style>
  <w:style w:type="character" w:customStyle="1" w:styleId="FootnoteTextChar">
    <w:name w:val="Footnote Text Char"/>
    <w:basedOn w:val="DefaultParagraphFont"/>
    <w:link w:val="FootnoteText"/>
    <w:uiPriority w:val="99"/>
    <w:semiHidden/>
    <w:rsid w:val="00AE14B0"/>
    <w:rPr>
      <w:sz w:val="20"/>
      <w:szCs w:val="20"/>
    </w:rPr>
  </w:style>
  <w:style w:type="character" w:styleId="FootnoteReference">
    <w:name w:val="footnote reference"/>
    <w:basedOn w:val="DefaultParagraphFont"/>
    <w:uiPriority w:val="99"/>
    <w:semiHidden/>
    <w:unhideWhenUsed/>
    <w:rsid w:val="00AE14B0"/>
    <w:rPr>
      <w:vertAlign w:val="superscript"/>
    </w:rPr>
  </w:style>
  <w:style w:type="paragraph" w:styleId="DocumentMap">
    <w:name w:val="Document Map"/>
    <w:basedOn w:val="Normal"/>
    <w:link w:val="DocumentMapChar"/>
    <w:uiPriority w:val="99"/>
    <w:semiHidden/>
    <w:unhideWhenUsed/>
    <w:rsid w:val="00B04E0F"/>
    <w:rPr>
      <w:rFonts w:ascii="Times New Roman" w:hAnsi="Times New Roman" w:cs="Times New Roman"/>
    </w:rPr>
  </w:style>
  <w:style w:type="character" w:customStyle="1" w:styleId="DocumentMapChar">
    <w:name w:val="Document Map Char"/>
    <w:basedOn w:val="DefaultParagraphFont"/>
    <w:link w:val="DocumentMap"/>
    <w:uiPriority w:val="99"/>
    <w:semiHidden/>
    <w:rsid w:val="00B04E0F"/>
    <w:rPr>
      <w:rFonts w:ascii="Times New Roman" w:hAnsi="Times New Roman" w:cs="Times New Roman"/>
    </w:rPr>
  </w:style>
  <w:style w:type="paragraph" w:styleId="Revision">
    <w:name w:val="Revision"/>
    <w:hidden/>
    <w:uiPriority w:val="99"/>
    <w:semiHidden/>
    <w:rsid w:val="00B04E0F"/>
  </w:style>
  <w:style w:type="table" w:styleId="TableGrid">
    <w:name w:val="Table Grid"/>
    <w:basedOn w:val="TableNormal"/>
    <w:uiPriority w:val="39"/>
    <w:rsid w:val="00B04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43CD"/>
    <w:rPr>
      <w:color w:val="954F72" w:themeColor="followedHyperlink"/>
      <w:u w:val="single"/>
    </w:rPr>
  </w:style>
  <w:style w:type="paragraph" w:styleId="Header">
    <w:name w:val="header"/>
    <w:basedOn w:val="Normal"/>
    <w:link w:val="HeaderChar"/>
    <w:uiPriority w:val="99"/>
    <w:semiHidden/>
    <w:unhideWhenUsed/>
    <w:rsid w:val="00374FE7"/>
    <w:pPr>
      <w:tabs>
        <w:tab w:val="center" w:pos="4680"/>
        <w:tab w:val="right" w:pos="9360"/>
      </w:tabs>
    </w:pPr>
  </w:style>
  <w:style w:type="character" w:customStyle="1" w:styleId="HeaderChar">
    <w:name w:val="Header Char"/>
    <w:basedOn w:val="DefaultParagraphFont"/>
    <w:link w:val="Header"/>
    <w:uiPriority w:val="99"/>
    <w:semiHidden/>
    <w:rsid w:val="00374FE7"/>
  </w:style>
  <w:style w:type="paragraph" w:styleId="Footer">
    <w:name w:val="footer"/>
    <w:basedOn w:val="Normal"/>
    <w:link w:val="FooterChar"/>
    <w:uiPriority w:val="99"/>
    <w:semiHidden/>
    <w:unhideWhenUsed/>
    <w:rsid w:val="00374FE7"/>
    <w:pPr>
      <w:tabs>
        <w:tab w:val="center" w:pos="4680"/>
        <w:tab w:val="right" w:pos="9360"/>
      </w:tabs>
    </w:pPr>
  </w:style>
  <w:style w:type="character" w:customStyle="1" w:styleId="FooterChar">
    <w:name w:val="Footer Char"/>
    <w:basedOn w:val="DefaultParagraphFont"/>
    <w:link w:val="Footer"/>
    <w:uiPriority w:val="99"/>
    <w:semiHidden/>
    <w:rsid w:val="0037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745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ulb-my.sharepoint.com/:f:/g/personal/tracy_gilmore_csulb_edu/EoB31xSTxjtHvG1MN_RDOcMB2ikaJVxGtMOx_QzYGwg6Xw?e=U2yTu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ies.calstate.edu/ecc-faq/"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C8617ED168B469953D750A3FAEDBD" ma:contentTypeVersion="13" ma:contentTypeDescription="Create a new document." ma:contentTypeScope="" ma:versionID="281511f0df6f0d4a30b11fa14a5b43a4">
  <xsd:schema xmlns:xsd="http://www.w3.org/2001/XMLSchema" xmlns:xs="http://www.w3.org/2001/XMLSchema" xmlns:p="http://schemas.microsoft.com/office/2006/metadata/properties" xmlns:ns3="ac65fce3-632c-4197-8d82-5eba0372394d" xmlns:ns4="f607ccd8-04c4-4408-a243-3f1953924061" targetNamespace="http://schemas.microsoft.com/office/2006/metadata/properties" ma:root="true" ma:fieldsID="89f2f5f35d18e18fc2d173c6fbf69f38" ns3:_="" ns4:_="">
    <xsd:import namespace="ac65fce3-632c-4197-8d82-5eba0372394d"/>
    <xsd:import namespace="f607ccd8-04c4-4408-a243-3f19539240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5fce3-632c-4197-8d82-5eba03723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7ccd8-04c4-4408-a243-3f19539240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44F2-71F9-4B54-A18C-A942000B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5fce3-632c-4197-8d82-5eba0372394d"/>
    <ds:schemaRef ds:uri="f607ccd8-04c4-4408-a243-3f1953924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B12A2-AEFB-43E2-9044-B2F09CCA1345}">
  <ds:schemaRefs>
    <ds:schemaRef ds:uri="http://schemas.microsoft.com/sharepoint/v3/contenttype/forms"/>
  </ds:schemaRefs>
</ds:datastoreItem>
</file>

<file path=customXml/itemProps3.xml><?xml version="1.0" encoding="utf-8"?>
<ds:datastoreItem xmlns:ds="http://schemas.openxmlformats.org/officeDocument/2006/customXml" ds:itemID="{8977375A-03B9-4B83-9BD8-C3415F3B169C}">
  <ds:schemaRef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f607ccd8-04c4-4408-a243-3f1953924061"/>
    <ds:schemaRef ds:uri="ac65fce3-632c-4197-8d82-5eba0372394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846478B-634D-4CC7-A808-2FD53671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Perruso</dc:creator>
  <cp:keywords/>
  <cp:lastModifiedBy>Van Hoeck, Michele</cp:lastModifiedBy>
  <cp:revision>2</cp:revision>
  <dcterms:created xsi:type="dcterms:W3CDTF">2019-12-04T00:06:00Z</dcterms:created>
  <dcterms:modified xsi:type="dcterms:W3CDTF">2019-12-04T00:06:00Z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0x010100755C8617ED168B469953D750A3FAEDBD</vt:lpwstr>
  </property>
</Properties>
</file>