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Shared Resources &amp; Digital Content </w:t>
      </w:r>
    </w:p>
    <w:p w:rsidR="00000000" w:rsidDel="00000000" w:rsidP="00000000" w:rsidRDefault="00000000" w:rsidRPr="00000000" w14:paraId="00000002">
      <w:pPr>
        <w:jc w:val="center"/>
        <w:rPr/>
      </w:pPr>
      <w:r w:rsidDel="00000000" w:rsidR="00000000" w:rsidRPr="00000000">
        <w:rPr>
          <w:rtl w:val="0"/>
        </w:rPr>
        <w:t xml:space="preserve">Committee of the Whole </w:t>
      </w:r>
    </w:p>
    <w:p w:rsidR="00000000" w:rsidDel="00000000" w:rsidP="00000000" w:rsidRDefault="00000000" w:rsidRPr="00000000" w14:paraId="00000003">
      <w:pPr>
        <w:jc w:val="center"/>
        <w:rPr/>
      </w:pPr>
      <w:r w:rsidDel="00000000" w:rsidR="00000000" w:rsidRPr="00000000">
        <w:rPr>
          <w:rtl w:val="0"/>
        </w:rPr>
        <w:t xml:space="preserve">Agenda – Meeting 3</w:t>
      </w:r>
    </w:p>
    <w:p w:rsidR="00000000" w:rsidDel="00000000" w:rsidP="00000000" w:rsidRDefault="00000000" w:rsidRPr="00000000" w14:paraId="00000004">
      <w:pPr>
        <w:jc w:val="center"/>
        <w:rPr/>
      </w:pPr>
      <w:r w:rsidDel="00000000" w:rsidR="00000000" w:rsidRPr="00000000">
        <w:rPr>
          <w:rtl w:val="0"/>
        </w:rPr>
        <w:t xml:space="preserve">Wednesday, February 1, 2023, 3-4:30 PM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Zoom: </w:t>
      </w:r>
      <w:hyperlink r:id="rId7">
        <w:r w:rsidDel="00000000" w:rsidR="00000000" w:rsidRPr="00000000">
          <w:rPr>
            <w:rFonts w:ascii="Roboto" w:cs="Roboto" w:eastAsia="Roboto" w:hAnsi="Roboto"/>
            <w:color w:val="1a73e8"/>
            <w:sz w:val="21"/>
            <w:szCs w:val="21"/>
            <w:highlight w:val="white"/>
            <w:u w:val="single"/>
            <w:rtl w:val="0"/>
          </w:rPr>
          <w:t xml:space="preserve">https://csueb.zoom.us/j/81169700421</w:t>
        </w:r>
      </w:hyperlink>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attendance: Lee Adams (Chair), Ann Roll, Amy Kautzman, Ann Agee, Ashley Wilson, Carole Correa-Morris, Pam Anan, Chris Bulock, David Gibbs, David Hellman, George Wrenn, Holly Yu, Jennifer Fabbi, Jodi Shepherd, John Brandt, Kathlene Hanson, Kitty Luce, Laura Krier, Lauren Magnuson, Marianne Foley, Monica Kirsch, Nerissa Lindsey, Stacy Magedanz, Tracy Gilmore, Wendy Vermeer, Emily Chan (note taker)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0B">
      <w:pPr>
        <w:numPr>
          <w:ilvl w:val="1"/>
          <w:numId w:val="3"/>
        </w:numPr>
        <w:ind w:left="1440" w:hanging="360"/>
        <w:rPr>
          <w:u w:val="none"/>
        </w:rPr>
      </w:pPr>
      <w:r w:rsidDel="00000000" w:rsidR="00000000" w:rsidRPr="00000000">
        <w:rPr>
          <w:rtl w:val="0"/>
        </w:rPr>
        <w:t xml:space="preserve">No formal CSU meet-up at SCELCapalooza - SCELC does not have a room for a CSU-wide meeting.  Also, it appears that there is a limited number of folks who will be in attendance.</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 Reminder: </w:t>
      </w:r>
      <w:hyperlink r:id="rId8">
        <w:r w:rsidDel="00000000" w:rsidR="00000000" w:rsidRPr="00000000">
          <w:rPr>
            <w:color w:val="1155cc"/>
            <w:u w:val="single"/>
            <w:rtl w:val="0"/>
          </w:rPr>
          <w:t xml:space="preserve">Wishlist</w:t>
        </w:r>
      </w:hyperlink>
      <w:r w:rsidDel="00000000" w:rsidR="00000000" w:rsidRPr="00000000">
        <w:rPr>
          <w:rtl w:val="0"/>
        </w:rPr>
      </w:r>
    </w:p>
    <w:p w:rsidR="00000000" w:rsidDel="00000000" w:rsidP="00000000" w:rsidRDefault="00000000" w:rsidRPr="00000000" w14:paraId="0000000E">
      <w:pPr>
        <w:numPr>
          <w:ilvl w:val="1"/>
          <w:numId w:val="3"/>
        </w:numPr>
        <w:ind w:left="1440" w:hanging="360"/>
        <w:rPr>
          <w:u w:val="none"/>
        </w:rPr>
      </w:pPr>
      <w:r w:rsidDel="00000000" w:rsidR="00000000" w:rsidRPr="00000000">
        <w:rPr>
          <w:rtl w:val="0"/>
        </w:rPr>
        <w:t xml:space="preserve">Should items added to the wishlist meet the ECC criteria? (Lee)</w:t>
      </w:r>
    </w:p>
    <w:p w:rsidR="00000000" w:rsidDel="00000000" w:rsidP="00000000" w:rsidRDefault="00000000" w:rsidRPr="00000000" w14:paraId="0000000F">
      <w:pPr>
        <w:rPr/>
      </w:pPr>
      <w:r w:rsidDel="00000000" w:rsidR="00000000" w:rsidRPr="00000000">
        <w:rPr>
          <w:rtl w:val="0"/>
        </w:rPr>
        <w:tab/>
        <w:tab/>
        <w:tab/>
        <w:t xml:space="preserve">Yes. There were no objections to that.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1"/>
          <w:numId w:val="3"/>
        </w:numPr>
        <w:ind w:left="1440" w:hanging="360"/>
        <w:rPr/>
      </w:pPr>
      <w:r w:rsidDel="00000000" w:rsidR="00000000" w:rsidRPr="00000000">
        <w:rPr>
          <w:rtl w:val="0"/>
        </w:rPr>
        <w:t xml:space="preserve">ECC Wishlist Prioritization and Selection (Pam)</w:t>
      </w:r>
    </w:p>
    <w:p w:rsidR="00000000" w:rsidDel="00000000" w:rsidP="00000000" w:rsidRDefault="00000000" w:rsidRPr="00000000" w14:paraId="00000012">
      <w:pPr>
        <w:ind w:left="2160" w:firstLine="0"/>
        <w:rPr/>
      </w:pPr>
      <w:r w:rsidDel="00000000" w:rsidR="00000000" w:rsidRPr="00000000">
        <w:rPr>
          <w:rtl w:val="0"/>
        </w:rPr>
        <w:t xml:space="preserve">Pam indicated that a subcommittee of EVL Subcommittee is applying the ECC criteria against the wishlist and rearranging the suggestions by format type and vendor in a separate file. The subcommittee needs more time to review and prioritize the submissions. The subcommittee will use Padlet to provide a mechanism to prioritize the suggested wishlist items. After input from SRDC, EVL will re-sort and send the updated list to Steering for their review. Steering will share with COLD.</w:t>
      </w:r>
    </w:p>
    <w:p w:rsidR="00000000" w:rsidDel="00000000" w:rsidP="00000000" w:rsidRDefault="00000000" w:rsidRPr="00000000" w14:paraId="00000013">
      <w:pPr>
        <w:ind w:left="0" w:firstLine="0"/>
        <w:rPr/>
      </w:pPr>
      <w:r w:rsidDel="00000000" w:rsidR="00000000" w:rsidRPr="00000000">
        <w:rPr>
          <w:rtl w:val="0"/>
        </w:rPr>
        <w:t xml:space="preserve"> </w:t>
      </w:r>
    </w:p>
    <w:p w:rsidR="00000000" w:rsidDel="00000000" w:rsidP="00000000" w:rsidRDefault="00000000" w:rsidRPr="00000000" w14:paraId="00000014">
      <w:pPr>
        <w:numPr>
          <w:ilvl w:val="1"/>
          <w:numId w:val="3"/>
        </w:numPr>
        <w:ind w:left="1440" w:hanging="360"/>
        <w:rPr/>
      </w:pPr>
      <w:r w:rsidDel="00000000" w:rsidR="00000000" w:rsidRPr="00000000">
        <w:rPr>
          <w:rtl w:val="0"/>
        </w:rPr>
        <w:t xml:space="preserve">ECC Wishlist February 20, 2023 deadline: Proposal to move up to February 6, 2023 (Pam)</w:t>
      </w:r>
    </w:p>
    <w:p w:rsidR="00000000" w:rsidDel="00000000" w:rsidP="00000000" w:rsidRDefault="00000000" w:rsidRPr="00000000" w14:paraId="00000015">
      <w:pPr>
        <w:ind w:left="2160" w:firstLine="0"/>
        <w:rPr/>
      </w:pPr>
      <w:r w:rsidDel="00000000" w:rsidR="00000000" w:rsidRPr="00000000">
        <w:rPr>
          <w:rtl w:val="0"/>
        </w:rPr>
        <w:t xml:space="preserve">With these proposed activities, there will not be sufficient time between the current 2/20/23 deadline to add wishlist items and the 3/10/23 Steering recommendation deadline to COLD. There is a request to shift the 2/20/23 deadline to add wishlist items to 2/6/23. This was approved and an additional 3/8/23 date was included so that Steering can review the prioritized list prior to sending it to COLD.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Original timeline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What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2/20/23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SRDC members last day to add to Wishlist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3/10/23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SRDC Steering Committee makes recommendations to COLD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3/30/23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COLD makes recommendations to SDLC</w:t>
            </w:r>
          </w:p>
        </w:tc>
      </w:tr>
    </w:tbl>
    <w:p w:rsidR="00000000" w:rsidDel="00000000" w:rsidP="00000000" w:rsidRDefault="00000000" w:rsidRPr="00000000" w14:paraId="00000020">
      <w:pPr>
        <w:rPr/>
      </w:pPr>
      <w:r w:rsidDel="00000000" w:rsidR="00000000" w:rsidRPr="00000000">
        <w:rPr>
          <w:rtl w:val="0"/>
        </w:rPr>
        <w:tab/>
        <w:tab/>
        <w:tab/>
      </w:r>
    </w:p>
    <w:p w:rsidR="00000000" w:rsidDel="00000000" w:rsidP="00000000" w:rsidRDefault="00000000" w:rsidRPr="00000000" w14:paraId="00000021">
      <w:pPr>
        <w:rPr>
          <w:b w:val="1"/>
          <w:highlight w:val="yellow"/>
        </w:rPr>
      </w:pPr>
      <w:r w:rsidDel="00000000" w:rsidR="00000000" w:rsidRPr="00000000">
        <w:rPr>
          <w:b w:val="1"/>
          <w:highlight w:val="yellow"/>
          <w:rtl w:val="0"/>
        </w:rPr>
        <w:t xml:space="preserve">New Timeline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highlight w:val="yellow"/>
              </w:rPr>
            </w:pPr>
            <w:r w:rsidDel="00000000" w:rsidR="00000000" w:rsidRPr="00000000">
              <w:rPr>
                <w:b w:val="1"/>
                <w:highlight w:val="yellow"/>
                <w:rtl w:val="0"/>
              </w:rPr>
              <w:t xml:space="preserve">Deadline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highlight w:val="yellow"/>
              </w:rPr>
            </w:pPr>
            <w:r w:rsidDel="00000000" w:rsidR="00000000" w:rsidRPr="00000000">
              <w:rPr>
                <w:b w:val="1"/>
                <w:highlight w:val="yellow"/>
                <w:rtl w:val="0"/>
              </w:rPr>
              <w:t xml:space="preserve">What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highlight w:val="yellow"/>
              </w:rPr>
            </w:pPr>
            <w:r w:rsidDel="00000000" w:rsidR="00000000" w:rsidRPr="00000000">
              <w:rPr>
                <w:highlight w:val="yellow"/>
                <w:rtl w:val="0"/>
              </w:rPr>
              <w:t xml:space="preserve">2/6/23</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highlight w:val="yellow"/>
              </w:rPr>
            </w:pPr>
            <w:r w:rsidDel="00000000" w:rsidR="00000000" w:rsidRPr="00000000">
              <w:rPr>
                <w:highlight w:val="yellow"/>
                <w:rtl w:val="0"/>
              </w:rPr>
              <w:t xml:space="preserve">SRDC members last day to add to Wishlist form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highlight w:val="yellow"/>
              </w:rPr>
            </w:pPr>
            <w:r w:rsidDel="00000000" w:rsidR="00000000" w:rsidRPr="00000000">
              <w:rPr>
                <w:highlight w:val="yellow"/>
                <w:rtl w:val="0"/>
              </w:rPr>
              <w:t xml:space="preserve">3/8/23</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highlight w:val="yellow"/>
              </w:rPr>
            </w:pPr>
            <w:r w:rsidDel="00000000" w:rsidR="00000000" w:rsidRPr="00000000">
              <w:rPr>
                <w:highlight w:val="yellow"/>
                <w:rtl w:val="0"/>
              </w:rPr>
              <w:t xml:space="preserve">EVL provides their prioritization to Steering</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highlight w:val="yellow"/>
              </w:rPr>
            </w:pPr>
            <w:r w:rsidDel="00000000" w:rsidR="00000000" w:rsidRPr="00000000">
              <w:rPr>
                <w:highlight w:val="yellow"/>
                <w:rtl w:val="0"/>
              </w:rPr>
              <w:t xml:space="preserve">3/10/23</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highlight w:val="yellow"/>
              </w:rPr>
            </w:pPr>
            <w:r w:rsidDel="00000000" w:rsidR="00000000" w:rsidRPr="00000000">
              <w:rPr>
                <w:highlight w:val="yellow"/>
                <w:rtl w:val="0"/>
              </w:rPr>
              <w:t xml:space="preserve">SRDC Steering Committee makes recommendations to COLD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highlight w:val="yellow"/>
              </w:rPr>
            </w:pPr>
            <w:r w:rsidDel="00000000" w:rsidR="00000000" w:rsidRPr="00000000">
              <w:rPr>
                <w:highlight w:val="yellow"/>
                <w:rtl w:val="0"/>
              </w:rPr>
              <w:t xml:space="preserve">3/30/23</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highlight w:val="yellow"/>
              </w:rPr>
            </w:pPr>
            <w:r w:rsidDel="00000000" w:rsidR="00000000" w:rsidRPr="00000000">
              <w:rPr>
                <w:highlight w:val="yellow"/>
                <w:rtl w:val="0"/>
              </w:rPr>
              <w:t xml:space="preserve">COLD makes recommendations to SDLC</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PQ Systemwide ILL report  (Ann)</w:t>
      </w:r>
    </w:p>
    <w:p w:rsidR="00000000" w:rsidDel="00000000" w:rsidP="00000000" w:rsidRDefault="00000000" w:rsidRPr="00000000" w14:paraId="0000002E">
      <w:pPr>
        <w:ind w:left="1440" w:firstLine="0"/>
        <w:rPr>
          <w:b w:val="1"/>
        </w:rPr>
      </w:pPr>
      <w:r w:rsidDel="00000000" w:rsidR="00000000" w:rsidRPr="00000000">
        <w:rPr>
          <w:rtl w:val="0"/>
        </w:rPr>
        <w:t xml:space="preserve">Ann shared the PQ Systemwide ILL report (via email) and provided some context. With permission from COLD, PQ ran a report from Alma Resource Sharing data on systemwide ILL requests so as to identify ebooks that might be added at the consortial level. No criteria were given, so they ran the report based on one that they had done for Orbis Cascade. </w:t>
      </w:r>
      <w:r w:rsidDel="00000000" w:rsidR="00000000" w:rsidRPr="00000000">
        <w:rPr>
          <w:b w:val="1"/>
          <w:rtl w:val="0"/>
        </w:rPr>
        <w:t xml:space="preserve">Question posed:</w:t>
      </w:r>
      <w:r w:rsidDel="00000000" w:rsidR="00000000" w:rsidRPr="00000000">
        <w:rPr>
          <w:rtl w:val="0"/>
        </w:rPr>
        <w:t xml:space="preserve"> </w:t>
      </w:r>
      <w:r w:rsidDel="00000000" w:rsidR="00000000" w:rsidRPr="00000000">
        <w:rPr>
          <w:b w:val="1"/>
          <w:rtl w:val="0"/>
        </w:rPr>
        <w:t xml:space="preserve">Is there interest in having PQ run more reports, and if so what criteria would we want the list to have?</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t xml:space="preserve">Suggestions for more data fields include: turnaways and removals/drops from the leased collection, and data should be provided at the campus level. Additions should meet a minimum campus number requirement and should not exceed a prescribed cost.</w:t>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ind w:left="1440" w:firstLine="0"/>
        <w:rPr/>
      </w:pPr>
      <w:r w:rsidDel="00000000" w:rsidR="00000000" w:rsidRPr="00000000">
        <w:rPr>
          <w:rtl w:val="0"/>
        </w:rPr>
        <w:t xml:space="preserve">Additional suggestions included limiting to multi-user perpetual option (MUPO) and digital rights management (DRM)-free items. JSTOR may be a superior product because of the lack of DRM. Copying and printing capabilities must be available, otherwise, users will not use them.</w:t>
      </w:r>
    </w:p>
    <w:p w:rsidR="00000000" w:rsidDel="00000000" w:rsidP="00000000" w:rsidRDefault="00000000" w:rsidRPr="00000000" w14:paraId="00000033">
      <w:pPr>
        <w:ind w:left="1440" w:firstLine="0"/>
        <w:rPr/>
      </w:pPr>
      <w:r w:rsidDel="00000000" w:rsidR="00000000" w:rsidRPr="00000000">
        <w:rPr>
          <w:rtl w:val="0"/>
        </w:rPr>
      </w:r>
    </w:p>
    <w:p w:rsidR="00000000" w:rsidDel="00000000" w:rsidP="00000000" w:rsidRDefault="00000000" w:rsidRPr="00000000" w14:paraId="00000034">
      <w:pPr>
        <w:ind w:left="1440" w:firstLine="0"/>
        <w:rPr>
          <w:b w:val="1"/>
        </w:rPr>
      </w:pPr>
      <w:r w:rsidDel="00000000" w:rsidR="00000000" w:rsidRPr="00000000">
        <w:rPr>
          <w:b w:val="1"/>
          <w:rtl w:val="0"/>
        </w:rPr>
        <w:t xml:space="preserve">Action item: Ann will ask PQ to rerun the report at the campus level. If time permits, Ann will send that information to Pam for wishlist inclusion.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Journal Package Analysis (Ann)</w:t>
      </w:r>
    </w:p>
    <w:p w:rsidR="00000000" w:rsidDel="00000000" w:rsidP="00000000" w:rsidRDefault="00000000" w:rsidRPr="00000000" w14:paraId="00000037">
      <w:pPr>
        <w:ind w:left="1440" w:firstLine="0"/>
        <w:rPr/>
      </w:pPr>
      <w:r w:rsidDel="00000000" w:rsidR="00000000" w:rsidRPr="00000000">
        <w:rPr>
          <w:rtl w:val="0"/>
        </w:rPr>
        <w:t xml:space="preserve">Background: Most campuses renew individual subscriptions with agents in Aug/Sept. Most large journal packages are renewed by SDLC on a calendar year basis. The costs for the five large journal packages are distributed among the campuses by the 20%base/50%FTE/30%usage formula (approved by COLD in 2013/2014).</w:t>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ind w:left="1440" w:firstLine="0"/>
        <w:rPr/>
      </w:pPr>
      <w:r w:rsidDel="00000000" w:rsidR="00000000" w:rsidRPr="00000000">
        <w:rPr>
          <w:rtl w:val="0"/>
        </w:rPr>
        <w:t xml:space="preserve">Due to the current situation, local subscriptions cannot be incorporated into the system packages because campuses renew much earlier than SDLC. The cost distribution formula makes it difficult to upgrade to a new package.  </w:t>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t xml:space="preserve">It’s been 10 years since the cost distribution formula was instituted. Journal package content has been largely static. There isn’t a mechanism for adding or removing package content, and some campuses (both large and small) are paying more for individual title subscriptions than they would for a complete package upgrade. </w:t>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ind w:left="1440" w:firstLine="0"/>
        <w:rPr>
          <w:b w:val="1"/>
        </w:rPr>
      </w:pPr>
      <w:r w:rsidDel="00000000" w:rsidR="00000000" w:rsidRPr="00000000">
        <w:rPr>
          <w:b w:val="1"/>
          <w:rtl w:val="0"/>
        </w:rPr>
        <w:t xml:space="preserve">Question posed:</w:t>
      </w:r>
      <w:r w:rsidDel="00000000" w:rsidR="00000000" w:rsidRPr="00000000">
        <w:rPr>
          <w:rtl w:val="0"/>
        </w:rPr>
        <w:t xml:space="preserve"> </w:t>
      </w:r>
      <w:r w:rsidDel="00000000" w:rsidR="00000000" w:rsidRPr="00000000">
        <w:rPr>
          <w:b w:val="1"/>
          <w:rtl w:val="0"/>
        </w:rPr>
        <w:t xml:space="preserve">Is it a good time to perform an analysis now?  We have more CD tools at our disposal (e.g., ILL requests and overlap analyses), which would facilitate a more holistic review. This would require a lot of support at the individual campuses, coordination with SRDC, and then SDLC negotiating for the revised packages. Also, is this a good time to review the cost distribution formula? Usage has </w:t>
      </w:r>
      <w:r w:rsidDel="00000000" w:rsidR="00000000" w:rsidRPr="00000000">
        <w:rPr>
          <w:b w:val="1"/>
          <w:i w:val="1"/>
          <w:rtl w:val="0"/>
        </w:rPr>
        <w:t xml:space="preserve">not </w:t>
      </w:r>
      <w:r w:rsidDel="00000000" w:rsidR="00000000" w:rsidRPr="00000000">
        <w:rPr>
          <w:b w:val="1"/>
          <w:rtl w:val="0"/>
        </w:rPr>
        <w:t xml:space="preserve">been annually reviewed. </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ind w:left="1440" w:firstLine="0"/>
        <w:rPr/>
      </w:pPr>
      <w:r w:rsidDel="00000000" w:rsidR="00000000" w:rsidRPr="00000000">
        <w:rPr>
          <w:rtl w:val="0"/>
        </w:rPr>
        <w:t xml:space="preserve">Ensuing discussion involved the counterintuitiveness of the cost model and the penalty of higher use, budget sustainability at the local level when packages continue to inflate, changing FTE, open access trends, and the various stakeholders needed to perform an analysis (e.g., COLiN, Collection Analytics, COLD). There was a suggestion to f</w:t>
      </w:r>
      <w:r w:rsidDel="00000000" w:rsidR="00000000" w:rsidRPr="00000000">
        <w:rPr>
          <w:rtl w:val="0"/>
        </w:rPr>
        <w:t xml:space="preserve">ocus on the analysis with the goal of right-sizing collections and potentially saving money. </w:t>
      </w:r>
    </w:p>
    <w:p w:rsidR="00000000" w:rsidDel="00000000" w:rsidP="00000000" w:rsidRDefault="00000000" w:rsidRPr="00000000" w14:paraId="00000040">
      <w:pPr>
        <w:ind w:left="1440" w:firstLine="0"/>
        <w:rPr/>
      </w:pPr>
      <w:r w:rsidDel="00000000" w:rsidR="00000000" w:rsidRPr="00000000">
        <w:rPr>
          <w:rtl w:val="0"/>
        </w:rPr>
      </w:r>
    </w:p>
    <w:p w:rsidR="00000000" w:rsidDel="00000000" w:rsidP="00000000" w:rsidRDefault="00000000" w:rsidRPr="00000000" w14:paraId="00000041">
      <w:pPr>
        <w:ind w:left="1440" w:firstLine="0"/>
        <w:rPr>
          <w:b w:val="1"/>
        </w:rPr>
      </w:pPr>
      <w:r w:rsidDel="00000000" w:rsidR="00000000" w:rsidRPr="00000000">
        <w:rPr>
          <w:b w:val="1"/>
          <w:rtl w:val="0"/>
        </w:rPr>
        <w:t xml:space="preserve">Action item: Ann will provide some timeline options that will take into account some of the elements discussed (e.g., COLiN’s involvement, Collection Analytics, etc.) and present it to Steering.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SDLC - Announcements &amp; Updates (Ann)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720" w:firstLine="720"/>
        <w:rPr/>
      </w:pPr>
      <w:r w:rsidDel="00000000" w:rsidR="00000000" w:rsidRPr="00000000">
        <w:rPr>
          <w:rtl w:val="0"/>
        </w:rPr>
        <w:t xml:space="preserve">Consortia Manager implementation update</w:t>
      </w:r>
    </w:p>
    <w:p w:rsidR="00000000" w:rsidDel="00000000" w:rsidP="00000000" w:rsidRDefault="00000000" w:rsidRPr="00000000" w14:paraId="00000047">
      <w:pPr>
        <w:numPr>
          <w:ilvl w:val="2"/>
          <w:numId w:val="1"/>
        </w:numPr>
        <w:ind w:left="2160" w:hanging="360"/>
        <w:rPr>
          <w:u w:val="none"/>
        </w:rPr>
      </w:pPr>
      <w:r w:rsidDel="00000000" w:rsidR="00000000" w:rsidRPr="00000000">
        <w:rPr>
          <w:rtl w:val="0"/>
        </w:rPr>
        <w:t xml:space="preserve">CO staff are finishing their training this month</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Training will roll out for campuses next month</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Those working with SCELC’s implementation already have a leg up</w:t>
      </w:r>
    </w:p>
    <w:p w:rsidR="00000000" w:rsidDel="00000000" w:rsidP="00000000" w:rsidRDefault="00000000" w:rsidRPr="00000000" w14:paraId="0000004A">
      <w:pPr>
        <w:numPr>
          <w:ilvl w:val="2"/>
          <w:numId w:val="1"/>
        </w:numPr>
        <w:ind w:left="2160" w:hanging="360"/>
        <w:rPr>
          <w:u w:val="none"/>
        </w:rPr>
      </w:pPr>
      <w:r w:rsidDel="00000000" w:rsidR="00000000" w:rsidRPr="00000000">
        <w:rPr>
          <w:rtl w:val="0"/>
        </w:rPr>
        <w:t xml:space="preserve">July 1st renewals will take place in Consortia Manager</w:t>
      </w:r>
    </w:p>
    <w:p w:rsidR="00000000" w:rsidDel="00000000" w:rsidP="00000000" w:rsidRDefault="00000000" w:rsidRPr="00000000" w14:paraId="0000004B">
      <w:pPr>
        <w:numPr>
          <w:ilvl w:val="2"/>
          <w:numId w:val="1"/>
        </w:numPr>
        <w:ind w:left="2160" w:hanging="360"/>
        <w:rPr>
          <w:u w:val="none"/>
        </w:rPr>
      </w:pPr>
      <w:r w:rsidDel="00000000" w:rsidR="00000000" w:rsidRPr="00000000">
        <w:rPr>
          <w:rtl w:val="0"/>
        </w:rPr>
        <w:t xml:space="preserve">Last agreement pending is Oxford; everything else should be in the payment and contract phase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left="1440" w:firstLine="0"/>
        <w:rPr/>
      </w:pPr>
      <w:r w:rsidDel="00000000" w:rsidR="00000000" w:rsidRPr="00000000">
        <w:rPr>
          <w:rtl w:val="0"/>
        </w:rPr>
        <w:t xml:space="preserve">AAAS/Marcive </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Less than what was advertised, not much, no new sub memo will be issued.</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numPr>
          <w:ilvl w:val="0"/>
          <w:numId w:val="3"/>
        </w:numPr>
        <w:ind w:left="720" w:hanging="360"/>
        <w:rPr/>
      </w:pPr>
      <w:r w:rsidDel="00000000" w:rsidR="00000000" w:rsidRPr="00000000">
        <w:rPr>
          <w:rtl w:val="0"/>
        </w:rPr>
        <w:t xml:space="preserve">COLD - Announcements &amp; Updates (Amy and Jen)</w:t>
      </w:r>
    </w:p>
    <w:p w:rsidR="00000000" w:rsidDel="00000000" w:rsidP="00000000" w:rsidRDefault="00000000" w:rsidRPr="00000000" w14:paraId="00000051">
      <w:pPr>
        <w:numPr>
          <w:ilvl w:val="0"/>
          <w:numId w:val="2"/>
        </w:numPr>
        <w:ind w:left="1440" w:hanging="360"/>
        <w:rPr>
          <w:u w:val="none"/>
        </w:rPr>
      </w:pPr>
      <w:r w:rsidDel="00000000" w:rsidR="00000000" w:rsidRPr="00000000">
        <w:rPr>
          <w:rtl w:val="0"/>
        </w:rPr>
        <w:t xml:space="preserve">Feb 16/17 - COLD meeting in Sacramento</w:t>
      </w:r>
    </w:p>
    <w:p w:rsidR="00000000" w:rsidDel="00000000" w:rsidP="00000000" w:rsidRDefault="00000000" w:rsidRPr="00000000" w14:paraId="00000052">
      <w:pPr>
        <w:numPr>
          <w:ilvl w:val="0"/>
          <w:numId w:val="2"/>
        </w:numPr>
        <w:ind w:left="1440" w:hanging="360"/>
        <w:rPr>
          <w:u w:val="none"/>
        </w:rPr>
      </w:pPr>
      <w:r w:rsidDel="00000000" w:rsidR="00000000" w:rsidRPr="00000000">
        <w:rPr>
          <w:rtl w:val="0"/>
        </w:rPr>
        <w:t xml:space="preserve">Something to keep on our collective radar – Transfer Success Pathway Program (TSPP)</w:t>
      </w:r>
    </w:p>
    <w:p w:rsidR="00000000" w:rsidDel="00000000" w:rsidP="00000000" w:rsidRDefault="00000000" w:rsidRPr="00000000" w14:paraId="00000053">
      <w:pPr>
        <w:numPr>
          <w:ilvl w:val="1"/>
          <w:numId w:val="2"/>
        </w:numPr>
        <w:ind w:left="2160" w:hanging="360"/>
        <w:rPr>
          <w:u w:val="none"/>
        </w:rPr>
      </w:pPr>
      <w:hyperlink r:id="rId9">
        <w:r w:rsidDel="00000000" w:rsidR="00000000" w:rsidRPr="00000000">
          <w:rPr>
            <w:color w:val="1155cc"/>
            <w:u w:val="single"/>
            <w:rtl w:val="0"/>
          </w:rPr>
          <w:t xml:space="preserve">https://leginfo.legislature.ca.gov/faces/billTextClient.xhtml?bill_id=202120220AB928</w:t>
        </w:r>
      </w:hyperlink>
      <w:r w:rsidDel="00000000" w:rsidR="00000000" w:rsidRPr="00000000">
        <w:rPr>
          <w:rtl w:val="0"/>
        </w:rPr>
      </w:r>
    </w:p>
    <w:p w:rsidR="00000000" w:rsidDel="00000000" w:rsidP="00000000" w:rsidRDefault="00000000" w:rsidRPr="00000000" w14:paraId="00000054">
      <w:pPr>
        <w:numPr>
          <w:ilvl w:val="1"/>
          <w:numId w:val="2"/>
        </w:numPr>
        <w:ind w:left="2160" w:hanging="360"/>
        <w:rPr>
          <w:u w:val="none"/>
        </w:rPr>
      </w:pPr>
      <w:hyperlink r:id="rId10">
        <w:r w:rsidDel="00000000" w:rsidR="00000000" w:rsidRPr="00000000">
          <w:rPr>
            <w:color w:val="1155cc"/>
            <w:u w:val="single"/>
            <w:rtl w:val="0"/>
          </w:rPr>
          <w:t xml:space="preserve">https://www.calstate.edu/csu-system/news/Pages/a-smooth-transition.aspx</w:t>
        </w:r>
      </w:hyperlink>
      <w:r w:rsidDel="00000000" w:rsidR="00000000" w:rsidRPr="00000000">
        <w:rPr>
          <w:rtl w:val="0"/>
        </w:rPr>
      </w:r>
    </w:p>
    <w:p w:rsidR="00000000" w:rsidDel="00000000" w:rsidP="00000000" w:rsidRDefault="00000000" w:rsidRPr="00000000" w14:paraId="00000055">
      <w:pPr>
        <w:numPr>
          <w:ilvl w:val="1"/>
          <w:numId w:val="2"/>
        </w:numPr>
        <w:ind w:left="2160" w:hanging="360"/>
        <w:rPr>
          <w:u w:val="none"/>
        </w:rPr>
      </w:pPr>
      <w:r w:rsidDel="00000000" w:rsidR="00000000" w:rsidRPr="00000000">
        <w:rPr>
          <w:rtl w:val="0"/>
        </w:rPr>
        <w:t xml:space="preserve">TSPP students’ access to libraries and their implementation may have implications on vendor agreements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Streaming Media (All)</w:t>
      </w:r>
    </w:p>
    <w:p w:rsidR="00000000" w:rsidDel="00000000" w:rsidP="00000000" w:rsidRDefault="00000000" w:rsidRPr="00000000" w14:paraId="00000058">
      <w:pPr>
        <w:numPr>
          <w:ilvl w:val="1"/>
          <w:numId w:val="3"/>
        </w:numPr>
        <w:ind w:left="1440" w:hanging="360"/>
      </w:pPr>
      <w:r w:rsidDel="00000000" w:rsidR="00000000" w:rsidRPr="00000000">
        <w:rPr>
          <w:rtl w:val="0"/>
        </w:rPr>
        <w:t xml:space="preserve">Praise for AVON, criticism for Kanopy</w:t>
      </w:r>
    </w:p>
    <w:p w:rsidR="00000000" w:rsidDel="00000000" w:rsidP="00000000" w:rsidRDefault="00000000" w:rsidRPr="00000000" w14:paraId="00000059">
      <w:pPr>
        <w:numPr>
          <w:ilvl w:val="1"/>
          <w:numId w:val="3"/>
        </w:numPr>
        <w:ind w:left="1440" w:hanging="360"/>
        <w:rPr>
          <w:u w:val="none"/>
        </w:rPr>
      </w:pPr>
      <w:r w:rsidDel="00000000" w:rsidR="00000000" w:rsidRPr="00000000">
        <w:rPr>
          <w:rtl w:val="0"/>
        </w:rPr>
        <w:t xml:space="preserve">Swank is individually subscribed; systemwide deal failed with not enough new campus subscribers</w:t>
      </w:r>
    </w:p>
    <w:p w:rsidR="00000000" w:rsidDel="00000000" w:rsidP="00000000" w:rsidRDefault="00000000" w:rsidRPr="00000000" w14:paraId="0000005A">
      <w:pPr>
        <w:numPr>
          <w:ilvl w:val="1"/>
          <w:numId w:val="3"/>
        </w:numPr>
        <w:ind w:left="1440" w:hanging="360"/>
        <w:rPr>
          <w:u w:val="none"/>
        </w:rPr>
      </w:pPr>
      <w:r w:rsidDel="00000000" w:rsidR="00000000" w:rsidRPr="00000000">
        <w:rPr>
          <w:rtl w:val="0"/>
        </w:rPr>
        <w:t xml:space="preserve">Some concerns about paying yearly for the same content; wants to focus on perpetual access</w:t>
      </w:r>
    </w:p>
    <w:p w:rsidR="00000000" w:rsidDel="00000000" w:rsidP="00000000" w:rsidRDefault="00000000" w:rsidRPr="00000000" w14:paraId="0000005B">
      <w:pPr>
        <w:numPr>
          <w:ilvl w:val="1"/>
          <w:numId w:val="3"/>
        </w:numPr>
        <w:ind w:left="1440" w:hanging="360"/>
        <w:rPr>
          <w:u w:val="none"/>
        </w:rPr>
      </w:pPr>
      <w:r w:rsidDel="00000000" w:rsidR="00000000" w:rsidRPr="00000000">
        <w:rPr>
          <w:rtl w:val="0"/>
        </w:rPr>
        <w:t xml:space="preserve">Pandemic has propelled requests; faculty are reliant on streaming video for their instruction</w:t>
      </w:r>
    </w:p>
    <w:p w:rsidR="00000000" w:rsidDel="00000000" w:rsidP="00000000" w:rsidRDefault="00000000" w:rsidRPr="00000000" w14:paraId="0000005C">
      <w:pPr>
        <w:numPr>
          <w:ilvl w:val="1"/>
          <w:numId w:val="3"/>
        </w:numPr>
        <w:ind w:left="1440" w:hanging="360"/>
        <w:rPr>
          <w:u w:val="none"/>
        </w:rPr>
      </w:pPr>
      <w:r w:rsidDel="00000000" w:rsidR="00000000" w:rsidRPr="00000000">
        <w:rPr>
          <w:rtl w:val="0"/>
        </w:rPr>
        <w:t xml:space="preserve">Question posed if student requests are fulfilled. General consensus was that only faculty requests were considered and that even all of these could not be fulfilled for various reasons</w:t>
      </w:r>
    </w:p>
    <w:p w:rsidR="00000000" w:rsidDel="00000000" w:rsidP="00000000" w:rsidRDefault="00000000" w:rsidRPr="00000000" w14:paraId="0000005D">
      <w:pPr>
        <w:numPr>
          <w:ilvl w:val="1"/>
          <w:numId w:val="3"/>
        </w:numPr>
        <w:ind w:left="1440" w:hanging="360"/>
        <w:rPr>
          <w:u w:val="none"/>
        </w:rPr>
      </w:pPr>
      <w:r w:rsidDel="00000000" w:rsidR="00000000" w:rsidRPr="00000000">
        <w:rPr>
          <w:rtl w:val="0"/>
        </w:rPr>
        <w:t xml:space="preserve">Alma Digital could be a solution; some campuses have digital site licenses and streaming servers</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Meeting Adjournment at 4:30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alstate.edu/csu-system/news/Pages/a-smooth-transition.aspx" TargetMode="External"/><Relationship Id="rId9" Type="http://schemas.openxmlformats.org/officeDocument/2006/relationships/hyperlink" Target="https://leginfo.legislature.ca.gov/faces/billTextClient.xhtml?bill_id=202120220AB92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ueb.zoom.us/j/81169700421" TargetMode="External"/><Relationship Id="rId8" Type="http://schemas.openxmlformats.org/officeDocument/2006/relationships/hyperlink" Target="https://docs.google.com/spreadsheets/d/1wwSRIBGjSc-7mNUIBBVXlz3kODvIpQ2kookOswlNXZQ/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pZDPPGqW/B9NWF4YJLzKWydwpQ==">AMUW2mW91v7LM9oiz0znJR9PF/cI39TzXe9PtLvMEKCnqT5l4QKeJGI8Mf8tqcwRu7mqQofxaEZj0EsOYrAHdCyQwNRRSdGaCkvgkPItWH1RjNo2xJctlNI=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