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8121"/>
      </w:tblGrid>
      <w:tr w:rsidR="00192F51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480FEA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March 17</w:t>
            </w:r>
            <w:r w:rsidR="0069565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, 2017</w:t>
            </w:r>
            <w:r w:rsidR="00F861D7" w:rsidRPr="00F861D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</w:rPr>
              <w:drawing>
                <wp:inline distT="0" distB="0" distL="0" distR="0" wp14:anchorId="3FFB7D7D" wp14:editId="2E09FD34">
                  <wp:extent cx="648586" cy="648586"/>
                  <wp:effectExtent l="0" t="0" r="0" b="0"/>
                  <wp:docPr id="2" name="Picture 2" descr="C:\Users\scaron\AppData\Local\Microsoft\Windows\Temporary Internet Files\Content.IE5\LKCRJA87\st_patricks_day_clipart_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aron\AppData\Local\Microsoft\Windows\Temporary Internet Files\Content.IE5\LKCRJA87\st_patricks_day_clipart_2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42" cy="648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F51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Working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Access Services &amp; Resource Sharing</w:t>
            </w:r>
          </w:p>
        </w:tc>
      </w:tr>
      <w:tr w:rsidR="00192F51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Task Force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69565F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Resource Sharing Governance Task Force</w:t>
            </w:r>
            <w:r w:rsidR="00F861D7" w:rsidRPr="00F861D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00192F51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Report Summary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69565F" w:rsidRPr="0069565F" w:rsidRDefault="0069565F" w:rsidP="00F861D7">
            <w:pPr>
              <w:spacing w:before="150"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</w:pPr>
            <w:r w:rsidRPr="0069565F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 xml:space="preserve">Resource Sharing </w:t>
            </w:r>
            <w:r w:rsidR="00480FEA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>Testing</w:t>
            </w:r>
          </w:p>
          <w:p w:rsidR="0069565F" w:rsidRDefault="00480FEA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The GTF met during the week of March 6</w:t>
            </w:r>
            <w:r w:rsidRPr="00480FEA">
              <w:rPr>
                <w:rFonts w:ascii="Arial" w:eastAsia="Times New Roman" w:hAnsi="Arial" w:cs="Arial"/>
                <w:color w:val="333333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and held testing session among the group.  Testing went well, but there were some “bugs” that the group would like addressed before testing proceeds with all the CSU’s.</w:t>
            </w:r>
          </w:p>
          <w:p w:rsidR="00480FEA" w:rsidRPr="00480FEA" w:rsidRDefault="00480FEA" w:rsidP="00480FEA">
            <w:pPr>
              <w:pStyle w:val="ListParagraph"/>
              <w:numPr>
                <w:ilvl w:val="0"/>
                <w:numId w:val="2"/>
              </w:num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80F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Multi volume requests take some practice to get them to run smoothly</w:t>
            </w:r>
          </w:p>
          <w:p w:rsidR="00480FEA" w:rsidRPr="00480FEA" w:rsidRDefault="00480FEA" w:rsidP="00480FEA">
            <w:pPr>
              <w:pStyle w:val="ListParagraph"/>
              <w:numPr>
                <w:ilvl w:val="0"/>
                <w:numId w:val="2"/>
              </w:num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80F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Configurations are not yet set to the policies approved by COLD.  </w:t>
            </w:r>
          </w:p>
          <w:p w:rsidR="00480FEA" w:rsidRPr="00480FEA" w:rsidRDefault="00480FEA" w:rsidP="00480FEA">
            <w:pPr>
              <w:pStyle w:val="ListParagraph"/>
              <w:numPr>
                <w:ilvl w:val="0"/>
                <w:numId w:val="2"/>
              </w:num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480FE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GTF needs to gain a better understanding of how to resolve/avoid mistakes in processing.</w:t>
            </w:r>
          </w:p>
          <w:p w:rsidR="0069565F" w:rsidRPr="0069565F" w:rsidRDefault="00C61BC2" w:rsidP="00F861D7">
            <w:pPr>
              <w:spacing w:before="150"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>Customizing the resource sharing request form</w:t>
            </w:r>
          </w:p>
          <w:p w:rsidR="0069565F" w:rsidRDefault="00C61BC2" w:rsidP="00F861D7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The group decided to include only the volume and comments fields on the request form.  For those CSU’</w:t>
            </w:r>
            <w:r w:rsidR="003E5E7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 that have multiple pick-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up locations, the </w:t>
            </w:r>
            <w:r w:rsidR="003E5E7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pick-up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location field </w:t>
            </w:r>
            <w:r w:rsidR="003E5E7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may also need to be included on the request form.  New instructions are being written and will be posted and sent out via the list </w:t>
            </w:r>
            <w:proofErr w:type="spellStart"/>
            <w:r w:rsidR="003E5E7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servs</w:t>
            </w:r>
            <w:proofErr w:type="spellEnd"/>
            <w:r w:rsidR="003E5E7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once completed.</w:t>
            </w:r>
          </w:p>
          <w:p w:rsidR="00BA236C" w:rsidRDefault="00192F51" w:rsidP="00F861D7">
            <w:pPr>
              <w:spacing w:before="150"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>Resource Sharing Policies</w:t>
            </w:r>
            <w:r w:rsidR="003E5E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 xml:space="preserve"> Modifications</w:t>
            </w:r>
          </w:p>
          <w:p w:rsidR="00B30682" w:rsidRPr="00F861D7" w:rsidRDefault="003E5E7E" w:rsidP="00B30682">
            <w:pPr>
              <w:spacing w:before="150"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Based on feedback from Ex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Libris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, some minor modification may be needed to the replacement fee policy and the </w:t>
            </w:r>
            <w:r>
              <w:rPr>
                <w:rFonts w:ascii="Arial" w:hAnsi="Arial" w:cs="Arial"/>
                <w:sz w:val="21"/>
                <w:szCs w:val="21"/>
              </w:rPr>
              <w:t>f</w:t>
            </w:r>
            <w:r w:rsidRPr="003E5E7E">
              <w:rPr>
                <w:rFonts w:ascii="Arial" w:hAnsi="Arial" w:cs="Arial"/>
                <w:sz w:val="21"/>
                <w:szCs w:val="21"/>
              </w:rPr>
              <w:t>ulfi</w:t>
            </w:r>
            <w:r>
              <w:rPr>
                <w:rFonts w:ascii="Arial" w:hAnsi="Arial" w:cs="Arial"/>
                <w:sz w:val="21"/>
                <w:szCs w:val="21"/>
              </w:rPr>
              <w:t>llment response/turnaround time policy.  The group is working on proposing modification suggestions to COLD.</w:t>
            </w:r>
          </w:p>
        </w:tc>
      </w:tr>
      <w:tr w:rsidR="00192F51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E5E7E" w:rsidRDefault="00192F51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COLD approved the following policy recommendations</w:t>
            </w:r>
            <w:r w:rsidR="003E5E7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.  Based on feedback from Ex </w:t>
            </w:r>
            <w:proofErr w:type="spellStart"/>
            <w:r w:rsidR="003E5E7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Libris</w:t>
            </w:r>
            <w:proofErr w:type="spellEnd"/>
            <w:r w:rsidR="003E5E7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and fellow access members, the GTF is working on modification suggestions for the following policies</w:t>
            </w:r>
            <w:r w:rsidR="0083509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(the recommendations are still a work-in-progress)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:</w:t>
            </w:r>
          </w:p>
          <w:p w:rsidR="003E5E7E" w:rsidRDefault="003E5E7E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CF6A46" w:rsidRDefault="00CF6A46" w:rsidP="00CF6A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80D10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u w:val="single"/>
              </w:rPr>
              <w:t>Replacement Fee</w:t>
            </w:r>
            <w:r w:rsidRPr="00F80D1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:</w:t>
            </w:r>
          </w:p>
          <w:p w:rsidR="00CF6A46" w:rsidRPr="00F80D10" w:rsidRDefault="00CF6A46" w:rsidP="00CF6A4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CF6A46" w:rsidRDefault="00CF6A46" w:rsidP="00CF6A4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80D10">
              <w:rPr>
                <w:rFonts w:ascii="Arial" w:eastAsia="Times New Roman" w:hAnsi="Arial" w:cs="Arial"/>
                <w:b/>
                <w:color w:val="333333"/>
                <w:sz w:val="21"/>
                <w:szCs w:val="21"/>
              </w:rPr>
              <w:t>Approved Policy:</w:t>
            </w:r>
            <w:r w:rsidRPr="00F80D1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</w:t>
            </w:r>
            <w:r w:rsidRPr="00F80D10">
              <w:rPr>
                <w:rFonts w:ascii="Arial" w:hAnsi="Arial" w:cs="Arial"/>
                <w:sz w:val="21"/>
                <w:szCs w:val="21"/>
              </w:rPr>
              <w:t>A replacement fee of the cost of an item + $15 or an approved replacement copy will be accepted for all lost Peer-to-Peer Resource Sharing items. Replacement copies will be approved by the owning library.</w:t>
            </w:r>
          </w:p>
          <w:p w:rsidR="00CF6A46" w:rsidRPr="00F80D10" w:rsidRDefault="00CF6A46" w:rsidP="00CF6A4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1"/>
                <w:szCs w:val="21"/>
              </w:rPr>
            </w:pPr>
          </w:p>
          <w:p w:rsidR="00CF6A46" w:rsidRDefault="00CF6A46" w:rsidP="00CF6A4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80D10">
              <w:rPr>
                <w:rFonts w:ascii="Arial" w:hAnsi="Arial" w:cs="Arial"/>
                <w:b/>
                <w:sz w:val="21"/>
                <w:szCs w:val="21"/>
              </w:rPr>
              <w:t>Potential Issue:</w:t>
            </w:r>
            <w:r w:rsidRPr="00F80D10">
              <w:rPr>
                <w:rFonts w:ascii="Arial" w:hAnsi="Arial" w:cs="Arial"/>
                <w:sz w:val="21"/>
                <w:szCs w:val="21"/>
              </w:rPr>
              <w:t xml:space="preserve">  Many CSU’s do not have a replacement fee listed in the item records for the books.  Alma requires this field to be a numeric value.  To populate notices and to be able to send bills (which are sent out automatically) the records need to have a numeric value.  These fields would have to be populated before notices/bills are sent.  Alma could use a generic “replacement cost” field to access this information, but the field would have to be set at a constant number/price.</w:t>
            </w:r>
          </w:p>
          <w:p w:rsidR="00CF6A46" w:rsidRPr="00F80D10" w:rsidRDefault="00CF6A46" w:rsidP="00CF6A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CF6A46" w:rsidRPr="00F80D10" w:rsidRDefault="00CF6A46" w:rsidP="00CF6A4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F80D10">
              <w:rPr>
                <w:rFonts w:ascii="Arial" w:hAnsi="Arial" w:cs="Arial"/>
                <w:b/>
                <w:sz w:val="21"/>
                <w:szCs w:val="21"/>
              </w:rPr>
              <w:t>Potential GTF recommendation</w:t>
            </w:r>
            <w:r w:rsidRPr="00F80D10">
              <w:rPr>
                <w:rFonts w:ascii="Arial" w:hAnsi="Arial" w:cs="Arial"/>
                <w:sz w:val="21"/>
                <w:szCs w:val="21"/>
              </w:rPr>
              <w:t xml:space="preserve">: Set the “replacement cost” in ALMA to $75.00 and include information that if the replacement of the item is less than $75.00, the actual amount of the book will be charged.  </w:t>
            </w:r>
          </w:p>
          <w:p w:rsidR="00CF6A46" w:rsidRDefault="00CF6A46" w:rsidP="00CF6A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CF6A46" w:rsidRPr="005B54D0" w:rsidRDefault="00CF6A46" w:rsidP="00CF6A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CF6A46" w:rsidRPr="00F80D10" w:rsidRDefault="00CF6A46" w:rsidP="00CF6A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F80D10">
              <w:rPr>
                <w:rFonts w:ascii="Arial" w:hAnsi="Arial" w:cs="Arial"/>
                <w:b/>
                <w:sz w:val="21"/>
                <w:szCs w:val="21"/>
                <w:u w:val="single"/>
              </w:rPr>
              <w:t>Fulfillment response/turnaround time:</w:t>
            </w:r>
          </w:p>
          <w:p w:rsidR="00CF6A46" w:rsidRPr="00F80D10" w:rsidRDefault="00CF6A46" w:rsidP="00CF6A46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CF6A46" w:rsidRDefault="00CF6A46" w:rsidP="00CF6A4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80D10">
              <w:rPr>
                <w:rFonts w:ascii="Arial" w:hAnsi="Arial" w:cs="Arial"/>
                <w:b/>
                <w:sz w:val="21"/>
                <w:szCs w:val="21"/>
              </w:rPr>
              <w:t>Approved Policy:</w:t>
            </w:r>
            <w:r w:rsidRPr="00F80D10">
              <w:rPr>
                <w:rFonts w:ascii="Arial" w:hAnsi="Arial" w:cs="Arial"/>
                <w:sz w:val="21"/>
                <w:szCs w:val="21"/>
              </w:rPr>
              <w:t xml:space="preserve">  The lending library will ship items within one business day (M-F) where the Resource Sharing department is open. Resource </w:t>
            </w:r>
            <w:proofErr w:type="gramStart"/>
            <w:r w:rsidRPr="00F80D10">
              <w:rPr>
                <w:rFonts w:ascii="Arial" w:hAnsi="Arial" w:cs="Arial"/>
                <w:sz w:val="21"/>
                <w:szCs w:val="21"/>
              </w:rPr>
              <w:t>Sharing</w:t>
            </w:r>
            <w:proofErr w:type="gramEnd"/>
            <w:r w:rsidRPr="00F80D10">
              <w:rPr>
                <w:rFonts w:ascii="Arial" w:hAnsi="Arial" w:cs="Arial"/>
                <w:sz w:val="21"/>
                <w:szCs w:val="21"/>
              </w:rPr>
              <w:t xml:space="preserve"> requests will transfer to the next library in the </w:t>
            </w:r>
            <w:proofErr w:type="spellStart"/>
            <w:r w:rsidRPr="00F80D10">
              <w:rPr>
                <w:rFonts w:ascii="Arial" w:hAnsi="Arial" w:cs="Arial"/>
                <w:sz w:val="21"/>
                <w:szCs w:val="21"/>
              </w:rPr>
              <w:t>rota</w:t>
            </w:r>
            <w:proofErr w:type="spellEnd"/>
            <w:r w:rsidRPr="00F80D10">
              <w:rPr>
                <w:rFonts w:ascii="Arial" w:hAnsi="Arial" w:cs="Arial"/>
                <w:sz w:val="21"/>
                <w:szCs w:val="21"/>
              </w:rPr>
              <w:t xml:space="preserve"> after two business days without a response to ensure libraries aren't skipped over weekends.</w:t>
            </w:r>
          </w:p>
          <w:p w:rsidR="00CF6A46" w:rsidRPr="00F80D10" w:rsidRDefault="00CF6A46" w:rsidP="00CF6A4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1"/>
                <w:szCs w:val="21"/>
              </w:rPr>
            </w:pPr>
          </w:p>
          <w:p w:rsidR="00CF6A46" w:rsidRDefault="00CF6A46" w:rsidP="00CF6A4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80D10">
              <w:rPr>
                <w:rFonts w:ascii="Arial" w:hAnsi="Arial" w:cs="Arial"/>
                <w:b/>
                <w:sz w:val="21"/>
                <w:szCs w:val="21"/>
              </w:rPr>
              <w:t>Potential Issue:</w:t>
            </w:r>
            <w:r w:rsidRPr="00F80D10">
              <w:rPr>
                <w:rFonts w:ascii="Arial" w:hAnsi="Arial" w:cs="Arial"/>
                <w:sz w:val="21"/>
                <w:szCs w:val="21"/>
              </w:rPr>
              <w:t xml:space="preserve">  Alma includes weekends in the response time.  It does not adhere to </w:t>
            </w:r>
            <w:proofErr w:type="gramStart"/>
            <w:r w:rsidRPr="00F80D10">
              <w:rPr>
                <w:rFonts w:ascii="Arial" w:hAnsi="Arial" w:cs="Arial"/>
                <w:sz w:val="21"/>
                <w:szCs w:val="21"/>
              </w:rPr>
              <w:t>a</w:t>
            </w:r>
            <w:proofErr w:type="gramEnd"/>
            <w:r w:rsidRPr="00F80D10">
              <w:rPr>
                <w:rFonts w:ascii="Arial" w:hAnsi="Arial" w:cs="Arial"/>
                <w:sz w:val="21"/>
                <w:szCs w:val="21"/>
              </w:rPr>
              <w:t xml:space="preserve"> M-F, business day, model.  Therefore a setting of 2 days for a response time may cause some requests that could be filled to be passed on to another library.  This could cause more unfilled requests to occur.</w:t>
            </w:r>
          </w:p>
          <w:p w:rsidR="00CF6A46" w:rsidRPr="00F80D10" w:rsidRDefault="00CF6A46" w:rsidP="00CF6A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F861D7" w:rsidRPr="00887C1A" w:rsidRDefault="00CF6A46" w:rsidP="00887C1A">
            <w:pPr>
              <w:pStyle w:val="ListParagraph"/>
              <w:numPr>
                <w:ilvl w:val="1"/>
                <w:numId w:val="3"/>
              </w:numPr>
            </w:pPr>
            <w:r w:rsidRPr="00F80D10">
              <w:rPr>
                <w:rFonts w:ascii="Arial" w:hAnsi="Arial" w:cs="Arial"/>
                <w:b/>
                <w:sz w:val="21"/>
                <w:szCs w:val="21"/>
              </w:rPr>
              <w:t>Potential GTF recommendation:</w:t>
            </w:r>
            <w:r w:rsidRPr="00F80D10">
              <w:rPr>
                <w:rFonts w:ascii="Arial" w:hAnsi="Arial" w:cs="Arial"/>
                <w:sz w:val="21"/>
                <w:szCs w:val="21"/>
              </w:rPr>
              <w:t xml:space="preserve">  Set the response time to 3 days instead of 2 days.  This would account for the weekend days in which most offices are closed.  Resource sharing is working under the policy that all requests are to be </w:t>
            </w:r>
            <w:proofErr w:type="gramStart"/>
            <w:r w:rsidRPr="00F80D10">
              <w:rPr>
                <w:rFonts w:ascii="Arial" w:hAnsi="Arial" w:cs="Arial"/>
                <w:sz w:val="21"/>
                <w:szCs w:val="21"/>
              </w:rPr>
              <w:t>filled/cancelled</w:t>
            </w:r>
            <w:proofErr w:type="gramEnd"/>
            <w:r w:rsidRPr="00F80D10">
              <w:rPr>
                <w:rFonts w:ascii="Arial" w:hAnsi="Arial" w:cs="Arial"/>
                <w:sz w:val="21"/>
                <w:szCs w:val="21"/>
              </w:rPr>
              <w:t xml:space="preserve"> within one business day.  Lengthening the response time to 2 to 3 days is only meant as a means of eliminated requests being passed along unnecessarily over weekend closures</w:t>
            </w:r>
            <w:r w:rsidR="00887C1A">
              <w:rPr>
                <w:rFonts w:ascii="Arial" w:hAnsi="Arial" w:cs="Arial"/>
                <w:sz w:val="21"/>
                <w:szCs w:val="21"/>
              </w:rPr>
              <w:t>.</w:t>
            </w:r>
            <w:bookmarkStart w:id="0" w:name="_GoBack"/>
            <w:bookmarkEnd w:id="0"/>
          </w:p>
        </w:tc>
      </w:tr>
      <w:tr w:rsidR="00192F51" w:rsidRPr="00F861D7" w:rsidTr="00F861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861D7" w:rsidRPr="00F861D7" w:rsidRDefault="00F861D7" w:rsidP="00F86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F861D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lastRenderedPageBreak/>
              <w:t>Action Items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85FC9" w:rsidRDefault="00BA236C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Schedule</w:t>
            </w:r>
            <w:r w:rsidR="00085FC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for testing –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New testing sessions will be determined </w:t>
            </w:r>
          </w:p>
          <w:p w:rsidR="00CF6A46" w:rsidRDefault="00CF6A46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CF6A46" w:rsidRDefault="00CF6A46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Formalized recommendations for replacement feel and fulfillment response time policies.</w:t>
            </w:r>
          </w:p>
          <w:p w:rsidR="00085FC9" w:rsidRDefault="00085FC9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F861D7" w:rsidRPr="00F861D7" w:rsidRDefault="00085FC9" w:rsidP="00F861D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ROTA considerations – an initial design for the ROTA has been presented.  Still need current statistics to determine order.  I-SPIE sent out a call for statistics; the deadline to submit statistics is 2/3.  Check with I-SPIE for statistics and then re-evaluate current ROTA design.  </w:t>
            </w:r>
            <w:r w:rsidR="00F861D7" w:rsidRPr="00F861D7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</w:p>
        </w:tc>
      </w:tr>
    </w:tbl>
    <w:p w:rsidR="00CB04D9" w:rsidRDefault="00CB04D9"/>
    <w:sectPr w:rsidR="00CB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0E55"/>
    <w:multiLevelType w:val="hybridMultilevel"/>
    <w:tmpl w:val="2178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E39C0"/>
    <w:multiLevelType w:val="hybridMultilevel"/>
    <w:tmpl w:val="731C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43E48"/>
    <w:multiLevelType w:val="hybridMultilevel"/>
    <w:tmpl w:val="03A6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D7"/>
    <w:rsid w:val="00085FC9"/>
    <w:rsid w:val="00135FCB"/>
    <w:rsid w:val="00192F51"/>
    <w:rsid w:val="003E5E7E"/>
    <w:rsid w:val="00480FEA"/>
    <w:rsid w:val="00544850"/>
    <w:rsid w:val="005B54D0"/>
    <w:rsid w:val="0069565F"/>
    <w:rsid w:val="00835092"/>
    <w:rsid w:val="0087789D"/>
    <w:rsid w:val="00887C1A"/>
    <w:rsid w:val="009958A2"/>
    <w:rsid w:val="00B30682"/>
    <w:rsid w:val="00BA236C"/>
    <w:rsid w:val="00C61BC2"/>
    <w:rsid w:val="00CB04D9"/>
    <w:rsid w:val="00CF6A46"/>
    <w:rsid w:val="00F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1D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laceholder2">
    <w:name w:val="text-placeholder2"/>
    <w:basedOn w:val="DefaultParagraphFont"/>
    <w:rsid w:val="00F861D7"/>
  </w:style>
  <w:style w:type="paragraph" w:customStyle="1" w:styleId="Default">
    <w:name w:val="Default"/>
    <w:rsid w:val="00877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1D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laceholder2">
    <w:name w:val="text-placeholder2"/>
    <w:basedOn w:val="DefaultParagraphFont"/>
    <w:rsid w:val="00F861D7"/>
  </w:style>
  <w:style w:type="paragraph" w:customStyle="1" w:styleId="Default">
    <w:name w:val="Default"/>
    <w:rsid w:val="00877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2017-03-16T21:11:00Z</dcterms:created>
  <dcterms:modified xsi:type="dcterms:W3CDTF">2017-03-16T21:51:00Z</dcterms:modified>
</cp:coreProperties>
</file>