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48" w:rsidRPr="00C03057" w:rsidRDefault="00500933">
      <w:pPr>
        <w:rPr>
          <w:rFonts w:asciiTheme="majorBidi" w:hAnsiTheme="majorBidi" w:cstheme="majorBidi"/>
          <w:sz w:val="24"/>
          <w:szCs w:val="24"/>
        </w:rPr>
      </w:pPr>
      <w:r w:rsidRPr="00C03057">
        <w:rPr>
          <w:rFonts w:asciiTheme="majorBidi" w:hAnsiTheme="majorBidi" w:cstheme="majorBidi"/>
          <w:sz w:val="24"/>
          <w:szCs w:val="24"/>
        </w:rPr>
        <w:t>Functional Call – July 7</w:t>
      </w:r>
      <w:r w:rsidRPr="00C03057">
        <w:rPr>
          <w:rFonts w:asciiTheme="majorBidi" w:hAnsiTheme="majorBidi" w:cstheme="majorBidi"/>
          <w:sz w:val="24"/>
          <w:szCs w:val="24"/>
          <w:vertAlign w:val="superscript"/>
        </w:rPr>
        <w:t>th</w:t>
      </w:r>
      <w:r w:rsidRPr="00C03057">
        <w:rPr>
          <w:rFonts w:asciiTheme="majorBidi" w:hAnsiTheme="majorBidi" w:cstheme="majorBidi"/>
          <w:sz w:val="24"/>
          <w:szCs w:val="24"/>
        </w:rPr>
        <w:t xml:space="preserve"> 2016</w:t>
      </w:r>
    </w:p>
    <w:p w:rsidR="00500933" w:rsidRPr="00C03057" w:rsidRDefault="00500933" w:rsidP="00500933">
      <w:pPr>
        <w:pStyle w:val="ListParagraph"/>
        <w:numPr>
          <w:ilvl w:val="0"/>
          <w:numId w:val="3"/>
        </w:numPr>
        <w:rPr>
          <w:rFonts w:asciiTheme="majorBidi" w:hAnsiTheme="majorBidi" w:cstheme="majorBidi"/>
          <w:b/>
          <w:bCs/>
        </w:rPr>
      </w:pPr>
      <w:r w:rsidRPr="00C03057">
        <w:rPr>
          <w:rFonts w:asciiTheme="majorBidi" w:hAnsiTheme="majorBidi" w:cstheme="majorBidi"/>
          <w:b/>
          <w:bCs/>
        </w:rPr>
        <w:t>Funds </w:t>
      </w:r>
    </w:p>
    <w:p w:rsidR="00500933" w:rsidRPr="00C03057" w:rsidRDefault="00500933" w:rsidP="00500933">
      <w:pPr>
        <w:rPr>
          <w:rFonts w:asciiTheme="majorBidi" w:hAnsiTheme="majorBidi" w:cstheme="majorBidi"/>
          <w:sz w:val="24"/>
          <w:szCs w:val="24"/>
        </w:rPr>
      </w:pPr>
      <w:r w:rsidRPr="00C03057">
        <w:rPr>
          <w:rFonts w:asciiTheme="majorBidi" w:hAnsiTheme="majorBidi" w:cstheme="majorBidi"/>
          <w:sz w:val="24"/>
          <w:szCs w:val="24"/>
        </w:rPr>
        <w:t>When doing an order, the funds are not showing up on this line:</w:t>
      </w:r>
    </w:p>
    <w:p w:rsidR="00500933" w:rsidRPr="00C03057" w:rsidRDefault="00500933" w:rsidP="003F689E">
      <w:pPr>
        <w:rPr>
          <w:rFonts w:asciiTheme="majorBidi" w:hAnsiTheme="majorBidi" w:cstheme="majorBidi"/>
          <w:sz w:val="24"/>
          <w:szCs w:val="24"/>
        </w:rPr>
      </w:pPr>
      <w:r w:rsidRPr="00C03057">
        <w:rPr>
          <w:rFonts w:asciiTheme="majorBidi" w:hAnsiTheme="majorBidi" w:cstheme="majorBidi"/>
          <w:sz w:val="24"/>
          <w:szCs w:val="24"/>
        </w:rPr>
        <w:t> </w:t>
      </w:r>
      <w:r w:rsidRPr="00C03057">
        <w:rPr>
          <w:rFonts w:asciiTheme="majorBidi" w:hAnsiTheme="majorBidi" w:cstheme="majorBidi"/>
          <w:noProof/>
          <w:sz w:val="24"/>
          <w:szCs w:val="24"/>
        </w:rPr>
        <w:drawing>
          <wp:inline distT="0" distB="0" distL="0" distR="0">
            <wp:extent cx="3781425" cy="843586"/>
            <wp:effectExtent l="0" t="0" r="0" b="0"/>
            <wp:docPr id="1" name="Picture 1" descr="cid:6B6261A2-97DB-43F7-8B72-C1B6EB2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B6261A2-97DB-43F7-8B72-C1B6EB26253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29186" cy="854241"/>
                    </a:xfrm>
                    <a:prstGeom prst="rect">
                      <a:avLst/>
                    </a:prstGeom>
                    <a:noFill/>
                    <a:ln>
                      <a:noFill/>
                    </a:ln>
                  </pic:spPr>
                </pic:pic>
              </a:graphicData>
            </a:graphic>
          </wp:inline>
        </w:drawing>
      </w:r>
    </w:p>
    <w:p w:rsidR="001220CB" w:rsidRPr="00C03057" w:rsidRDefault="00500933" w:rsidP="001220CB">
      <w:pPr>
        <w:pStyle w:val="ListParagraph"/>
        <w:numPr>
          <w:ilvl w:val="0"/>
          <w:numId w:val="6"/>
        </w:numPr>
        <w:spacing w:before="0" w:beforeAutospacing="0" w:after="0" w:afterAutospacing="0"/>
        <w:rPr>
          <w:rFonts w:asciiTheme="majorBidi" w:hAnsiTheme="majorBidi" w:cstheme="majorBidi"/>
        </w:rPr>
      </w:pPr>
      <w:r w:rsidRPr="00C03057">
        <w:rPr>
          <w:rFonts w:asciiTheme="majorBidi" w:hAnsiTheme="majorBidi" w:cstheme="majorBidi"/>
        </w:rPr>
        <w:t>Is there a reason they are not showing up (might be outside the scope of the functional call)</w:t>
      </w:r>
    </w:p>
    <w:p w:rsidR="00500933" w:rsidRPr="00C03057" w:rsidRDefault="001220CB" w:rsidP="001220CB">
      <w:pPr>
        <w:pStyle w:val="ListParagraph"/>
        <w:numPr>
          <w:ilvl w:val="0"/>
          <w:numId w:val="6"/>
        </w:numPr>
        <w:spacing w:before="0" w:beforeAutospacing="0" w:after="0" w:afterAutospacing="0"/>
        <w:rPr>
          <w:rFonts w:asciiTheme="majorBidi" w:hAnsiTheme="majorBidi" w:cstheme="majorBidi"/>
        </w:rPr>
      </w:pPr>
      <w:r w:rsidRPr="00C03057">
        <w:rPr>
          <w:rFonts w:asciiTheme="majorBidi" w:hAnsiTheme="majorBidi" w:cstheme="majorBidi"/>
        </w:rPr>
        <w:t>I was reading through the documentation and it said that if the fund does not have any $ in it, it will not appear on this line. We often overspend funds. How do we get the fund to show up here if there is no money in the account?</w:t>
      </w:r>
    </w:p>
    <w:p w:rsidR="00162552" w:rsidRPr="00C03057" w:rsidRDefault="00162552" w:rsidP="00162552">
      <w:pPr>
        <w:spacing w:after="0"/>
        <w:rPr>
          <w:rFonts w:asciiTheme="majorBidi" w:hAnsiTheme="majorBidi" w:cstheme="majorBidi"/>
          <w:sz w:val="24"/>
          <w:szCs w:val="24"/>
        </w:rPr>
      </w:pPr>
      <w:r w:rsidRPr="00C03057">
        <w:rPr>
          <w:rFonts w:asciiTheme="majorBidi" w:hAnsiTheme="majorBidi" w:cstheme="majorBidi"/>
          <w:sz w:val="24"/>
          <w:szCs w:val="24"/>
        </w:rPr>
        <w:t>Answer:</w:t>
      </w:r>
    </w:p>
    <w:p w:rsidR="00500933" w:rsidRPr="00C03057" w:rsidRDefault="00162552" w:rsidP="00500933">
      <w:pPr>
        <w:spacing w:after="0"/>
        <w:rPr>
          <w:rFonts w:asciiTheme="majorBidi" w:hAnsiTheme="majorBidi" w:cstheme="majorBidi"/>
          <w:sz w:val="24"/>
          <w:szCs w:val="24"/>
        </w:rPr>
      </w:pPr>
      <w:r w:rsidRPr="00C03057">
        <w:rPr>
          <w:rFonts w:asciiTheme="majorBidi" w:hAnsiTheme="majorBidi" w:cstheme="majorBidi"/>
          <w:sz w:val="24"/>
          <w:szCs w:val="24"/>
        </w:rPr>
        <w:t>- Fiscal Year has finished on June 30</w:t>
      </w:r>
      <w:r w:rsidRPr="00C03057">
        <w:rPr>
          <w:rFonts w:asciiTheme="majorBidi" w:hAnsiTheme="majorBidi" w:cstheme="majorBidi"/>
          <w:sz w:val="24"/>
          <w:szCs w:val="24"/>
          <w:vertAlign w:val="superscript"/>
        </w:rPr>
        <w:t>th</w:t>
      </w:r>
      <w:r w:rsidRPr="00C03057">
        <w:rPr>
          <w:rFonts w:asciiTheme="majorBidi" w:hAnsiTheme="majorBidi" w:cstheme="majorBidi"/>
          <w:sz w:val="24"/>
          <w:szCs w:val="24"/>
        </w:rPr>
        <w:t xml:space="preserve"> 2016. </w:t>
      </w:r>
    </w:p>
    <w:p w:rsidR="00162552" w:rsidRPr="00C03057" w:rsidRDefault="00162552" w:rsidP="00500933">
      <w:pPr>
        <w:spacing w:after="0"/>
        <w:rPr>
          <w:rFonts w:asciiTheme="majorBidi" w:hAnsiTheme="majorBidi" w:cstheme="majorBidi"/>
          <w:sz w:val="24"/>
          <w:szCs w:val="24"/>
        </w:rPr>
      </w:pPr>
      <w:r w:rsidRPr="00C03057">
        <w:rPr>
          <w:rFonts w:asciiTheme="majorBidi" w:hAnsiTheme="majorBidi" w:cstheme="majorBidi"/>
          <w:sz w:val="24"/>
          <w:szCs w:val="24"/>
        </w:rPr>
        <w:t xml:space="preserve">The following document describes how to rollover for the next fiscal year – </w:t>
      </w:r>
    </w:p>
    <w:p w:rsidR="00162552" w:rsidRPr="00C03057" w:rsidRDefault="006672C0" w:rsidP="00500933">
      <w:pPr>
        <w:spacing w:after="0"/>
        <w:rPr>
          <w:rFonts w:asciiTheme="majorBidi" w:hAnsiTheme="majorBidi" w:cstheme="majorBidi"/>
          <w:sz w:val="24"/>
          <w:szCs w:val="24"/>
        </w:rPr>
      </w:pPr>
      <w:hyperlink r:id="rId7" w:history="1">
        <w:r w:rsidR="00162552" w:rsidRPr="00C03057">
          <w:rPr>
            <w:rStyle w:val="Hyperlink"/>
            <w:rFonts w:asciiTheme="majorBidi" w:hAnsiTheme="majorBidi" w:cstheme="majorBidi"/>
            <w:sz w:val="24"/>
            <w:szCs w:val="24"/>
          </w:rPr>
          <w:t>http://knowledge.exlibrisgroup.com/Alma/Product_Documentation/Alma_Online_Help_%28English%29/Acquisitions/100Advanced_Tools/020Fiscal_Period_Closure</w:t>
        </w:r>
      </w:hyperlink>
    </w:p>
    <w:p w:rsidR="00162552" w:rsidRPr="00C03057" w:rsidRDefault="00A9548E" w:rsidP="00500933">
      <w:pPr>
        <w:spacing w:after="0"/>
        <w:rPr>
          <w:rFonts w:asciiTheme="majorBidi" w:hAnsiTheme="majorBidi" w:cstheme="majorBidi"/>
          <w:sz w:val="24"/>
          <w:szCs w:val="24"/>
        </w:rPr>
      </w:pPr>
      <w:r w:rsidRPr="00C03057">
        <w:rPr>
          <w:rFonts w:asciiTheme="majorBidi" w:hAnsiTheme="majorBidi" w:cstheme="majorBidi"/>
          <w:sz w:val="24"/>
          <w:szCs w:val="24"/>
        </w:rPr>
        <w:t>For detailed explanation and demonstration of the process got to -</w:t>
      </w:r>
      <w:hyperlink r:id="rId8" w:history="1">
        <w:r w:rsidR="007B7E8D" w:rsidRPr="00C03057">
          <w:rPr>
            <w:rStyle w:val="Hyperlink"/>
            <w:rFonts w:asciiTheme="majorBidi" w:hAnsiTheme="majorBidi" w:cstheme="majorBidi"/>
            <w:sz w:val="24"/>
            <w:szCs w:val="24"/>
          </w:rPr>
          <w:t>https://www.youtube.com/watch?v=seinWQUiBGA&amp;hd=1</w:t>
        </w:r>
      </w:hyperlink>
    </w:p>
    <w:p w:rsidR="00162552" w:rsidRPr="00C03057" w:rsidRDefault="00162552" w:rsidP="00500933">
      <w:pPr>
        <w:spacing w:after="0"/>
        <w:rPr>
          <w:rFonts w:asciiTheme="majorBidi" w:hAnsiTheme="majorBidi" w:cstheme="majorBidi"/>
          <w:sz w:val="24"/>
          <w:szCs w:val="24"/>
        </w:rPr>
      </w:pPr>
      <w:r w:rsidRPr="00C03057">
        <w:rPr>
          <w:rFonts w:asciiTheme="majorBidi" w:hAnsiTheme="majorBidi" w:cstheme="majorBidi"/>
          <w:sz w:val="24"/>
          <w:szCs w:val="24"/>
        </w:rPr>
        <w:t xml:space="preserve">In order to test workflows on production server, you will need to process fiscal year closure and </w:t>
      </w:r>
      <w:r w:rsidR="003E6C8D" w:rsidRPr="00C03057">
        <w:rPr>
          <w:rFonts w:asciiTheme="majorBidi" w:hAnsiTheme="majorBidi" w:cstheme="majorBidi"/>
          <w:sz w:val="24"/>
          <w:szCs w:val="24"/>
        </w:rPr>
        <w:t xml:space="preserve">rollover to the next fiscal period. </w:t>
      </w:r>
    </w:p>
    <w:p w:rsidR="003E6C8D" w:rsidRPr="00C03057" w:rsidRDefault="003F689E" w:rsidP="00500933">
      <w:pPr>
        <w:spacing w:after="0"/>
        <w:rPr>
          <w:rFonts w:asciiTheme="majorBidi" w:hAnsiTheme="majorBidi" w:cstheme="majorBidi"/>
          <w:sz w:val="24"/>
          <w:szCs w:val="24"/>
        </w:rPr>
      </w:pPr>
      <w:r w:rsidRPr="00C03057">
        <w:rPr>
          <w:rFonts w:asciiTheme="majorBidi" w:hAnsiTheme="majorBidi" w:cstheme="majorBidi"/>
          <w:noProof/>
          <w:sz w:val="24"/>
          <w:szCs w:val="24"/>
        </w:rPr>
        <w:drawing>
          <wp:inline distT="0" distB="0" distL="0" distR="0" wp14:anchorId="6344C8F6" wp14:editId="51E278CA">
            <wp:extent cx="4733925" cy="35504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99588" cy="3599693"/>
                    </a:xfrm>
                    <a:prstGeom prst="rect">
                      <a:avLst/>
                    </a:prstGeom>
                  </pic:spPr>
                </pic:pic>
              </a:graphicData>
            </a:graphic>
          </wp:inline>
        </w:drawing>
      </w:r>
    </w:p>
    <w:p w:rsidR="00162552" w:rsidRPr="00C03057" w:rsidRDefault="00162552" w:rsidP="00162552">
      <w:pPr>
        <w:pStyle w:val="ListParagraph"/>
        <w:numPr>
          <w:ilvl w:val="0"/>
          <w:numId w:val="4"/>
        </w:numPr>
        <w:spacing w:after="0"/>
        <w:rPr>
          <w:rFonts w:asciiTheme="majorBidi" w:hAnsiTheme="majorBidi" w:cstheme="majorBidi"/>
        </w:rPr>
      </w:pPr>
      <w:r w:rsidRPr="00C03057">
        <w:rPr>
          <w:rFonts w:asciiTheme="majorBidi" w:hAnsiTheme="majorBidi" w:cstheme="majorBidi"/>
        </w:rPr>
        <w:lastRenderedPageBreak/>
        <w:t>There is an option under ledger to add grace period</w:t>
      </w:r>
      <w:r w:rsidR="003F689E" w:rsidRPr="00C03057">
        <w:rPr>
          <w:rFonts w:asciiTheme="majorBidi" w:hAnsiTheme="majorBidi" w:cstheme="majorBidi"/>
        </w:rPr>
        <w:t xml:space="preserve"> in order to allow using funds after fiscal period ended</w:t>
      </w:r>
      <w:r w:rsidRPr="00C03057">
        <w:rPr>
          <w:rFonts w:asciiTheme="majorBidi" w:hAnsiTheme="majorBidi" w:cstheme="majorBidi"/>
        </w:rPr>
        <w:t xml:space="preserve">. Go to </w:t>
      </w:r>
      <w:r w:rsidRPr="00C03057">
        <w:rPr>
          <w:rStyle w:val="almamainmenu"/>
          <w:rFonts w:asciiTheme="majorBidi" w:hAnsiTheme="majorBidi" w:cstheme="majorBidi"/>
        </w:rPr>
        <w:t>Acquisitions &gt; Acquisitions Infrastructure &gt; Funds and Ledgers – select Ledger – Edit – Rules (click on ‘plus’)</w:t>
      </w:r>
    </w:p>
    <w:p w:rsidR="00162552" w:rsidRDefault="00162552" w:rsidP="00162552">
      <w:pPr>
        <w:spacing w:after="0"/>
        <w:ind w:left="360"/>
        <w:rPr>
          <w:rFonts w:asciiTheme="majorBidi" w:hAnsiTheme="majorBidi" w:cstheme="majorBidi"/>
          <w:sz w:val="24"/>
          <w:szCs w:val="24"/>
        </w:rPr>
      </w:pPr>
      <w:r w:rsidRPr="00C03057">
        <w:rPr>
          <w:rFonts w:asciiTheme="majorBidi" w:hAnsiTheme="majorBidi" w:cstheme="majorBidi"/>
          <w:noProof/>
          <w:sz w:val="24"/>
          <w:szCs w:val="24"/>
        </w:rPr>
        <w:drawing>
          <wp:inline distT="0" distB="0" distL="0" distR="0">
            <wp:extent cx="5939790" cy="130937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309370"/>
                    </a:xfrm>
                    <a:prstGeom prst="rect">
                      <a:avLst/>
                    </a:prstGeom>
                    <a:noFill/>
                    <a:ln>
                      <a:noFill/>
                    </a:ln>
                  </pic:spPr>
                </pic:pic>
              </a:graphicData>
            </a:graphic>
          </wp:inline>
        </w:drawing>
      </w:r>
    </w:p>
    <w:p w:rsidR="00B854AD" w:rsidRDefault="00B854AD" w:rsidP="00162552">
      <w:pPr>
        <w:spacing w:after="0"/>
        <w:ind w:left="360"/>
        <w:rPr>
          <w:rFonts w:asciiTheme="majorBidi" w:hAnsiTheme="majorBidi" w:cstheme="majorBidi"/>
          <w:sz w:val="24"/>
          <w:szCs w:val="24"/>
        </w:rPr>
      </w:pPr>
      <w:r>
        <w:rPr>
          <w:rFonts w:asciiTheme="majorBidi" w:hAnsiTheme="majorBidi" w:cstheme="majorBidi"/>
          <w:sz w:val="24"/>
          <w:szCs w:val="24"/>
        </w:rPr>
        <w:t>Ledger/Fund rules:</w:t>
      </w:r>
    </w:p>
    <w:p w:rsidR="00B854AD" w:rsidRDefault="00B854AD" w:rsidP="00162552">
      <w:pPr>
        <w:spacing w:after="0"/>
        <w:ind w:left="360"/>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934075" cy="3219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219450"/>
                    </a:xfrm>
                    <a:prstGeom prst="rect">
                      <a:avLst/>
                    </a:prstGeom>
                    <a:noFill/>
                    <a:ln>
                      <a:noFill/>
                    </a:ln>
                  </pic:spPr>
                </pic:pic>
              </a:graphicData>
            </a:graphic>
          </wp:inline>
        </w:drawing>
      </w:r>
    </w:p>
    <w:p w:rsidR="00B854AD" w:rsidRPr="00C03057" w:rsidRDefault="00B854AD" w:rsidP="00162552">
      <w:pPr>
        <w:spacing w:after="0"/>
        <w:ind w:left="360"/>
        <w:rPr>
          <w:rFonts w:asciiTheme="majorBidi" w:hAnsiTheme="majorBidi" w:cstheme="majorBidi"/>
          <w:sz w:val="24"/>
          <w:szCs w:val="24"/>
        </w:rPr>
      </w:pPr>
    </w:p>
    <w:p w:rsidR="00162552" w:rsidRPr="00C03057" w:rsidRDefault="00153E01" w:rsidP="00153E01">
      <w:pPr>
        <w:spacing w:after="0"/>
        <w:rPr>
          <w:rFonts w:asciiTheme="majorBidi" w:hAnsiTheme="majorBidi" w:cstheme="majorBidi"/>
          <w:sz w:val="24"/>
          <w:szCs w:val="24"/>
        </w:rPr>
      </w:pPr>
      <w:r w:rsidRPr="00C03057">
        <w:rPr>
          <w:rFonts w:asciiTheme="majorBidi" w:hAnsiTheme="majorBidi" w:cstheme="majorBidi"/>
          <w:sz w:val="24"/>
          <w:szCs w:val="24"/>
        </w:rPr>
        <w:t xml:space="preserve">Recommended to check migrated data before rollover. </w:t>
      </w:r>
      <w:r w:rsidR="00F00EB6" w:rsidRPr="00C03057">
        <w:rPr>
          <w:rFonts w:asciiTheme="majorBidi" w:hAnsiTheme="majorBidi" w:cstheme="majorBidi"/>
          <w:sz w:val="24"/>
          <w:szCs w:val="24"/>
        </w:rPr>
        <w:t xml:space="preserve">Active POLs are candidate for rollover (not-fully-invoiced) </w:t>
      </w:r>
    </w:p>
    <w:p w:rsidR="001220CB" w:rsidRPr="00C03057" w:rsidRDefault="00E558AF" w:rsidP="001220CB">
      <w:pPr>
        <w:spacing w:before="100" w:beforeAutospacing="1" w:after="240" w:line="240" w:lineRule="auto"/>
        <w:rPr>
          <w:rFonts w:asciiTheme="majorBidi" w:eastAsia="Times New Roman" w:hAnsiTheme="majorBidi" w:cstheme="majorBidi"/>
          <w:b/>
          <w:bCs/>
          <w:i/>
          <w:iCs/>
          <w:sz w:val="24"/>
          <w:szCs w:val="24"/>
        </w:rPr>
      </w:pPr>
      <w:r w:rsidRPr="00C03057">
        <w:rPr>
          <w:rFonts w:asciiTheme="majorBidi" w:eastAsia="Times New Roman" w:hAnsiTheme="majorBidi" w:cstheme="majorBidi"/>
          <w:b/>
          <w:bCs/>
          <w:i/>
          <w:iCs/>
          <w:sz w:val="24"/>
          <w:szCs w:val="24"/>
        </w:rPr>
        <w:t xml:space="preserve">Workflow – Create POL </w:t>
      </w:r>
      <w:r w:rsidR="0027314C" w:rsidRPr="00C03057">
        <w:rPr>
          <w:rFonts w:asciiTheme="majorBidi" w:eastAsia="Times New Roman" w:hAnsiTheme="majorBidi" w:cstheme="majorBidi"/>
          <w:b/>
          <w:bCs/>
          <w:i/>
          <w:iCs/>
          <w:sz w:val="24"/>
          <w:szCs w:val="24"/>
        </w:rPr>
        <w:t>from Metadata Editor</w:t>
      </w:r>
    </w:p>
    <w:p w:rsidR="00500933" w:rsidRPr="00C03057" w:rsidRDefault="00500933" w:rsidP="001220CB">
      <w:pPr>
        <w:pStyle w:val="ListParagraph"/>
        <w:numPr>
          <w:ilvl w:val="0"/>
          <w:numId w:val="3"/>
        </w:numPr>
        <w:spacing w:after="240"/>
        <w:rPr>
          <w:rFonts w:asciiTheme="majorBidi" w:eastAsia="Times New Roman" w:hAnsiTheme="majorBidi" w:cstheme="majorBidi"/>
        </w:rPr>
      </w:pPr>
      <w:r w:rsidRPr="00C03057">
        <w:rPr>
          <w:rFonts w:asciiTheme="majorBidi" w:eastAsia="Times New Roman" w:hAnsiTheme="majorBidi" w:cstheme="majorBidi"/>
        </w:rPr>
        <w:t>Can you demonstrate how to handle both ways the acquisitions process for a unique item that is not in the Alma knowledgebase or in OCLC....for a print one-time order example and an electronic one-time order example?  </w:t>
      </w:r>
      <w:r w:rsidRPr="00C03057">
        <w:rPr>
          <w:rFonts w:asciiTheme="majorBidi" w:eastAsia="Times New Roman" w:hAnsiTheme="majorBidi" w:cstheme="majorBidi"/>
        </w:rPr>
        <w:br/>
        <w:t>We sometimes order Chicano graphic novels or have university published items that are locally unique.</w:t>
      </w:r>
    </w:p>
    <w:p w:rsidR="0027314C" w:rsidRPr="00C03057" w:rsidRDefault="00F00EB6" w:rsidP="00F00EB6">
      <w:pPr>
        <w:pStyle w:val="ListParagraph"/>
        <w:numPr>
          <w:ilvl w:val="0"/>
          <w:numId w:val="4"/>
        </w:numPr>
        <w:spacing w:after="240"/>
        <w:rPr>
          <w:rFonts w:asciiTheme="majorBidi" w:eastAsia="Times New Roman" w:hAnsiTheme="majorBidi" w:cstheme="majorBidi"/>
        </w:rPr>
      </w:pPr>
      <w:r w:rsidRPr="00C03057">
        <w:rPr>
          <w:rFonts w:asciiTheme="majorBidi" w:eastAsia="Times New Roman" w:hAnsiTheme="majorBidi" w:cstheme="majorBidi"/>
        </w:rPr>
        <w:t>Open Metadata Editor</w:t>
      </w:r>
    </w:p>
    <w:p w:rsidR="0031314C" w:rsidRPr="00C03057" w:rsidRDefault="0031314C" w:rsidP="0031314C">
      <w:pPr>
        <w:pStyle w:val="ListParagraph"/>
        <w:spacing w:after="240"/>
        <w:ind w:left="720"/>
        <w:rPr>
          <w:rFonts w:asciiTheme="majorBidi" w:eastAsia="Times New Roman" w:hAnsiTheme="majorBidi" w:cstheme="majorBidi"/>
        </w:rPr>
      </w:pPr>
      <w:r w:rsidRPr="00C03057">
        <w:rPr>
          <w:rFonts w:asciiTheme="majorBidi" w:eastAsia="Times New Roman" w:hAnsiTheme="majorBidi" w:cstheme="majorBidi"/>
          <w:noProof/>
        </w:rPr>
        <w:lastRenderedPageBreak/>
        <w:drawing>
          <wp:inline distT="0" distB="0" distL="0" distR="0">
            <wp:extent cx="1661160" cy="207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1160" cy="2076450"/>
                    </a:xfrm>
                    <a:prstGeom prst="rect">
                      <a:avLst/>
                    </a:prstGeom>
                    <a:noFill/>
                    <a:ln>
                      <a:noFill/>
                    </a:ln>
                  </pic:spPr>
                </pic:pic>
              </a:graphicData>
            </a:graphic>
          </wp:inline>
        </w:drawing>
      </w:r>
    </w:p>
    <w:p w:rsidR="00F00EB6" w:rsidRPr="00C03057" w:rsidRDefault="00F00EB6" w:rsidP="00F00EB6">
      <w:pPr>
        <w:pStyle w:val="ListParagraph"/>
        <w:numPr>
          <w:ilvl w:val="0"/>
          <w:numId w:val="4"/>
        </w:numPr>
        <w:spacing w:after="240"/>
        <w:rPr>
          <w:rFonts w:asciiTheme="majorBidi" w:eastAsia="Times New Roman" w:hAnsiTheme="majorBidi" w:cstheme="majorBidi"/>
        </w:rPr>
      </w:pPr>
      <w:r w:rsidRPr="00C03057">
        <w:rPr>
          <w:rFonts w:asciiTheme="majorBidi" w:eastAsia="Times New Roman" w:hAnsiTheme="majorBidi" w:cstheme="majorBidi"/>
        </w:rPr>
        <w:t>File – New – MARC</w:t>
      </w:r>
      <w:r w:rsidR="0031314C" w:rsidRPr="00C03057">
        <w:rPr>
          <w:rFonts w:asciiTheme="majorBidi" w:eastAsia="Times New Roman" w:hAnsiTheme="majorBidi" w:cstheme="majorBidi"/>
        </w:rPr>
        <w:t>21</w:t>
      </w:r>
      <w:r w:rsidRPr="00C03057">
        <w:rPr>
          <w:rFonts w:asciiTheme="majorBidi" w:eastAsia="Times New Roman" w:hAnsiTheme="majorBidi" w:cstheme="majorBidi"/>
        </w:rPr>
        <w:t xml:space="preserve"> </w:t>
      </w:r>
      <w:r w:rsidR="0031314C" w:rsidRPr="00C03057">
        <w:rPr>
          <w:rFonts w:asciiTheme="majorBidi" w:eastAsia="Times New Roman" w:hAnsiTheme="majorBidi" w:cstheme="majorBidi"/>
        </w:rPr>
        <w:t>bibliographic</w:t>
      </w:r>
    </w:p>
    <w:p w:rsidR="0031314C" w:rsidRPr="00C03057" w:rsidRDefault="0031314C" w:rsidP="0031314C">
      <w:pPr>
        <w:pStyle w:val="ListParagraph"/>
        <w:spacing w:after="240"/>
        <w:ind w:left="720"/>
        <w:rPr>
          <w:rFonts w:asciiTheme="majorBidi" w:eastAsia="Times New Roman" w:hAnsiTheme="majorBidi" w:cstheme="majorBidi"/>
        </w:rPr>
      </w:pPr>
      <w:r w:rsidRPr="00C03057">
        <w:rPr>
          <w:rFonts w:asciiTheme="majorBidi" w:eastAsia="Times New Roman" w:hAnsiTheme="majorBidi" w:cstheme="majorBidi"/>
          <w:noProof/>
        </w:rPr>
        <w:drawing>
          <wp:inline distT="0" distB="0" distL="0" distR="0">
            <wp:extent cx="5314950" cy="953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315" cy="955825"/>
                    </a:xfrm>
                    <a:prstGeom prst="rect">
                      <a:avLst/>
                    </a:prstGeom>
                    <a:noFill/>
                    <a:ln>
                      <a:noFill/>
                    </a:ln>
                  </pic:spPr>
                </pic:pic>
              </a:graphicData>
            </a:graphic>
          </wp:inline>
        </w:drawing>
      </w:r>
    </w:p>
    <w:p w:rsidR="0031314C" w:rsidRPr="00C03057" w:rsidRDefault="0031314C" w:rsidP="0031314C">
      <w:pPr>
        <w:pStyle w:val="ListParagraph"/>
        <w:spacing w:after="240"/>
        <w:ind w:left="720"/>
        <w:rPr>
          <w:rFonts w:asciiTheme="majorBidi" w:eastAsia="Times New Roman" w:hAnsiTheme="majorBidi" w:cstheme="majorBidi"/>
        </w:rPr>
      </w:pPr>
    </w:p>
    <w:p w:rsidR="00F00EB6" w:rsidRPr="00C03057" w:rsidRDefault="00F00EB6" w:rsidP="00F00EB6">
      <w:pPr>
        <w:pStyle w:val="ListParagraph"/>
        <w:numPr>
          <w:ilvl w:val="0"/>
          <w:numId w:val="4"/>
        </w:numPr>
        <w:spacing w:after="240"/>
        <w:rPr>
          <w:rFonts w:asciiTheme="majorBidi" w:eastAsia="Times New Roman" w:hAnsiTheme="majorBidi" w:cstheme="majorBidi"/>
        </w:rPr>
      </w:pPr>
      <w:r w:rsidRPr="00C03057">
        <w:rPr>
          <w:rFonts w:asciiTheme="majorBidi" w:eastAsia="Times New Roman" w:hAnsiTheme="majorBidi" w:cstheme="majorBidi"/>
        </w:rPr>
        <w:t>Catalog – Save/Click on order icon</w:t>
      </w:r>
    </w:p>
    <w:p w:rsidR="0031314C" w:rsidRPr="00C03057" w:rsidRDefault="0031314C" w:rsidP="0031314C">
      <w:pPr>
        <w:pStyle w:val="ListParagraph"/>
        <w:spacing w:after="240"/>
        <w:ind w:left="720"/>
        <w:rPr>
          <w:rFonts w:asciiTheme="majorBidi" w:eastAsia="Times New Roman" w:hAnsiTheme="majorBidi" w:cstheme="majorBidi"/>
        </w:rPr>
      </w:pPr>
      <w:r w:rsidRPr="00C03057">
        <w:rPr>
          <w:rFonts w:asciiTheme="majorBidi" w:eastAsia="Times New Roman" w:hAnsiTheme="majorBidi" w:cstheme="majorBidi"/>
          <w:noProof/>
        </w:rPr>
        <w:drawing>
          <wp:inline distT="0" distB="0" distL="0" distR="0">
            <wp:extent cx="5264331" cy="885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76" cy="886337"/>
                    </a:xfrm>
                    <a:prstGeom prst="rect">
                      <a:avLst/>
                    </a:prstGeom>
                    <a:noFill/>
                    <a:ln>
                      <a:noFill/>
                    </a:ln>
                  </pic:spPr>
                </pic:pic>
              </a:graphicData>
            </a:graphic>
          </wp:inline>
        </w:drawing>
      </w:r>
    </w:p>
    <w:p w:rsidR="00870284" w:rsidRPr="00C03057" w:rsidRDefault="00870284" w:rsidP="00870284">
      <w:pPr>
        <w:pStyle w:val="ListParagraph"/>
        <w:spacing w:after="240"/>
        <w:ind w:left="720"/>
        <w:rPr>
          <w:rFonts w:asciiTheme="majorBidi" w:eastAsia="Times New Roman" w:hAnsiTheme="majorBidi" w:cstheme="majorBidi"/>
        </w:rPr>
      </w:pPr>
      <w:r w:rsidRPr="00C03057">
        <w:rPr>
          <w:rFonts w:asciiTheme="majorBidi" w:eastAsia="Times New Roman" w:hAnsiTheme="majorBidi" w:cstheme="majorBidi"/>
        </w:rPr>
        <w:t xml:space="preserve">If this is electronic resource, Alma enables to create portfolio with linking information - enter 856 $$u with URL. Multiple </w:t>
      </w:r>
      <w:r w:rsidR="000E68D4" w:rsidRPr="00C03057">
        <w:rPr>
          <w:rFonts w:asciiTheme="majorBidi" w:eastAsia="Times New Roman" w:hAnsiTheme="majorBidi" w:cstheme="majorBidi"/>
        </w:rPr>
        <w:t xml:space="preserve">fields/portfolios are supported - </w:t>
      </w:r>
      <w:hyperlink r:id="rId15" w:history="1">
        <w:r w:rsidR="000E68D4" w:rsidRPr="00C03057">
          <w:rPr>
            <w:rStyle w:val="Hyperlink"/>
            <w:rFonts w:asciiTheme="majorBidi" w:eastAsia="Times New Roman" w:hAnsiTheme="majorBidi" w:cstheme="majorBidi"/>
          </w:rPr>
          <w:t>https://www.youtube.com/watch?v=b2j_RJPFKRE&amp;hd=1</w:t>
        </w:r>
      </w:hyperlink>
    </w:p>
    <w:p w:rsidR="00F00EB6" w:rsidRPr="00C03057" w:rsidRDefault="00F00EB6" w:rsidP="00F00EB6">
      <w:pPr>
        <w:pStyle w:val="ListParagraph"/>
        <w:numPr>
          <w:ilvl w:val="0"/>
          <w:numId w:val="4"/>
        </w:numPr>
        <w:spacing w:after="240"/>
        <w:rPr>
          <w:rFonts w:asciiTheme="majorBidi" w:eastAsia="Times New Roman" w:hAnsiTheme="majorBidi" w:cstheme="majorBidi"/>
        </w:rPr>
      </w:pPr>
      <w:r w:rsidRPr="00C03057">
        <w:rPr>
          <w:rFonts w:asciiTheme="majorBidi" w:eastAsia="Times New Roman" w:hAnsiTheme="majorBidi" w:cstheme="majorBidi"/>
        </w:rPr>
        <w:t>Continue with wizard – fill-in fields</w:t>
      </w:r>
    </w:p>
    <w:p w:rsidR="00F00EB6" w:rsidRPr="00C03057" w:rsidRDefault="0031314C" w:rsidP="00F00EB6">
      <w:pPr>
        <w:pStyle w:val="ListParagraph"/>
        <w:spacing w:after="240"/>
        <w:ind w:left="720"/>
        <w:rPr>
          <w:rFonts w:asciiTheme="majorBidi" w:eastAsia="Times New Roman" w:hAnsiTheme="majorBidi" w:cstheme="majorBidi"/>
        </w:rPr>
      </w:pPr>
      <w:r w:rsidRPr="00C03057">
        <w:rPr>
          <w:rFonts w:asciiTheme="majorBidi" w:eastAsia="Times New Roman" w:hAnsiTheme="majorBidi" w:cstheme="majorBidi"/>
          <w:noProof/>
        </w:rPr>
        <w:lastRenderedPageBreak/>
        <w:drawing>
          <wp:inline distT="0" distB="0" distL="0" distR="0">
            <wp:extent cx="548640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90700"/>
                    </a:xfrm>
                    <a:prstGeom prst="rect">
                      <a:avLst/>
                    </a:prstGeom>
                    <a:noFill/>
                    <a:ln>
                      <a:noFill/>
                    </a:ln>
                  </pic:spPr>
                </pic:pic>
              </a:graphicData>
            </a:graphic>
          </wp:inline>
        </w:drawing>
      </w:r>
    </w:p>
    <w:p w:rsidR="00292308" w:rsidRPr="00C03057" w:rsidRDefault="00292308" w:rsidP="00F00EB6">
      <w:pPr>
        <w:pStyle w:val="ListParagraph"/>
        <w:spacing w:after="240"/>
        <w:ind w:left="720"/>
        <w:rPr>
          <w:rFonts w:asciiTheme="majorBidi" w:eastAsia="Times New Roman" w:hAnsiTheme="majorBidi" w:cstheme="majorBidi"/>
        </w:rPr>
      </w:pPr>
      <w:r w:rsidRPr="00C03057">
        <w:rPr>
          <w:rFonts w:asciiTheme="majorBidi" w:eastAsia="Times New Roman" w:hAnsiTheme="majorBidi" w:cstheme="majorBidi"/>
          <w:noProof/>
        </w:rPr>
        <w:drawing>
          <wp:inline distT="0" distB="0" distL="0" distR="0">
            <wp:extent cx="5419725" cy="1057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9725" cy="1057275"/>
                    </a:xfrm>
                    <a:prstGeom prst="rect">
                      <a:avLst/>
                    </a:prstGeom>
                    <a:noFill/>
                    <a:ln>
                      <a:noFill/>
                    </a:ln>
                  </pic:spPr>
                </pic:pic>
              </a:graphicData>
            </a:graphic>
          </wp:inline>
        </w:drawing>
      </w:r>
    </w:p>
    <w:p w:rsidR="0031314C" w:rsidRPr="00C03057" w:rsidRDefault="0031314C" w:rsidP="0031314C">
      <w:pPr>
        <w:pStyle w:val="ListParagraph"/>
        <w:numPr>
          <w:ilvl w:val="0"/>
          <w:numId w:val="4"/>
        </w:numPr>
        <w:spacing w:after="240"/>
        <w:rPr>
          <w:rFonts w:asciiTheme="majorBidi" w:eastAsia="Times New Roman" w:hAnsiTheme="majorBidi" w:cstheme="majorBidi"/>
        </w:rPr>
      </w:pPr>
      <w:r w:rsidRPr="00C03057">
        <w:rPr>
          <w:rFonts w:asciiTheme="majorBidi" w:eastAsia="Times New Roman" w:hAnsiTheme="majorBidi" w:cstheme="majorBidi"/>
        </w:rPr>
        <w:t>Click ‘Create PO Line’</w:t>
      </w:r>
    </w:p>
    <w:p w:rsidR="0031314C" w:rsidRPr="00C03057" w:rsidRDefault="006672C0" w:rsidP="00F00EB6">
      <w:pPr>
        <w:pStyle w:val="ListParagraph"/>
        <w:spacing w:after="240"/>
        <w:ind w:left="720"/>
        <w:rPr>
          <w:rFonts w:asciiTheme="majorBidi" w:eastAsia="Times New Roman" w:hAnsiTheme="majorBidi" w:cstheme="majorBidi"/>
        </w:rPr>
      </w:pPr>
      <w:hyperlink r:id="rId18" w:history="1">
        <w:r w:rsidR="0031314C" w:rsidRPr="00C03057">
          <w:rPr>
            <w:rStyle w:val="Hyperlink"/>
            <w:rFonts w:asciiTheme="majorBidi" w:eastAsia="Times New Roman" w:hAnsiTheme="majorBidi" w:cstheme="majorBidi"/>
          </w:rPr>
          <w:t>http://knowledge.exlibrisgroup.com/Alma/Product_Documentation/Alma_Online_Help_(English)/Acquisitions/020Purchasing/020Creating_PO_Lines/030Manually_Creating_a_PO_Line</w:t>
        </w:r>
      </w:hyperlink>
    </w:p>
    <w:p w:rsidR="003C0DFF" w:rsidRPr="00C03057" w:rsidRDefault="003C0DFF" w:rsidP="003C0DFF">
      <w:pPr>
        <w:pStyle w:val="PlainText"/>
        <w:numPr>
          <w:ilvl w:val="0"/>
          <w:numId w:val="3"/>
        </w:numPr>
        <w:rPr>
          <w:rFonts w:asciiTheme="majorBidi" w:hAnsiTheme="majorBidi" w:cstheme="majorBidi"/>
          <w:sz w:val="24"/>
          <w:szCs w:val="24"/>
        </w:rPr>
      </w:pPr>
      <w:r w:rsidRPr="00C03057">
        <w:rPr>
          <w:rFonts w:asciiTheme="majorBidi" w:hAnsiTheme="majorBidi" w:cstheme="majorBidi"/>
          <w:sz w:val="24"/>
          <w:szCs w:val="24"/>
        </w:rPr>
        <w:t xml:space="preserve">What exactly is the difference between </w:t>
      </w:r>
      <w:proofErr w:type="spellStart"/>
      <w:r w:rsidRPr="00C03057">
        <w:rPr>
          <w:rFonts w:asciiTheme="majorBidi" w:hAnsiTheme="majorBidi" w:cstheme="majorBidi"/>
          <w:sz w:val="24"/>
          <w:szCs w:val="24"/>
        </w:rPr>
        <w:t>po</w:t>
      </w:r>
      <w:proofErr w:type="spellEnd"/>
      <w:r w:rsidRPr="00C03057">
        <w:rPr>
          <w:rFonts w:asciiTheme="majorBidi" w:hAnsiTheme="majorBidi" w:cstheme="majorBidi"/>
          <w:sz w:val="24"/>
          <w:szCs w:val="24"/>
        </w:rPr>
        <w:t xml:space="preserve">-prefix (PO) and </w:t>
      </w:r>
      <w:proofErr w:type="spellStart"/>
      <w:r w:rsidRPr="00C03057">
        <w:rPr>
          <w:rFonts w:asciiTheme="majorBidi" w:hAnsiTheme="majorBidi" w:cstheme="majorBidi"/>
          <w:sz w:val="24"/>
          <w:szCs w:val="24"/>
        </w:rPr>
        <w:t>po</w:t>
      </w:r>
      <w:proofErr w:type="spellEnd"/>
      <w:r w:rsidRPr="00C03057">
        <w:rPr>
          <w:rFonts w:asciiTheme="majorBidi" w:hAnsiTheme="majorBidi" w:cstheme="majorBidi"/>
          <w:sz w:val="24"/>
          <w:szCs w:val="24"/>
        </w:rPr>
        <w:t>-line (POL) prefix and why is it important?</w:t>
      </w:r>
    </w:p>
    <w:p w:rsidR="003C0DFF" w:rsidRPr="00C03057" w:rsidRDefault="003C0DFF" w:rsidP="003C0DFF">
      <w:pPr>
        <w:pStyle w:val="PlainText"/>
        <w:ind w:left="720"/>
        <w:rPr>
          <w:rFonts w:asciiTheme="majorBidi" w:hAnsiTheme="majorBidi" w:cstheme="majorBidi"/>
          <w:sz w:val="24"/>
          <w:szCs w:val="24"/>
        </w:rPr>
      </w:pPr>
    </w:p>
    <w:p w:rsidR="003C0DFF" w:rsidRPr="00C03057" w:rsidRDefault="003C0DFF" w:rsidP="003C0DFF">
      <w:pPr>
        <w:pStyle w:val="PlainText"/>
        <w:ind w:left="720"/>
        <w:rPr>
          <w:rFonts w:asciiTheme="majorBidi" w:hAnsiTheme="majorBidi" w:cstheme="majorBidi"/>
          <w:sz w:val="24"/>
          <w:szCs w:val="24"/>
        </w:rPr>
      </w:pPr>
      <w:r w:rsidRPr="00C03057">
        <w:rPr>
          <w:rFonts w:asciiTheme="majorBidi" w:hAnsiTheme="majorBidi" w:cstheme="majorBidi"/>
          <w:sz w:val="24"/>
          <w:szCs w:val="24"/>
        </w:rPr>
        <w:t>Answer:</w:t>
      </w:r>
    </w:p>
    <w:p w:rsidR="003C0DFF" w:rsidRPr="00C03057" w:rsidRDefault="00AA1E17" w:rsidP="003C0DFF">
      <w:pPr>
        <w:pStyle w:val="PlainText"/>
        <w:ind w:left="720"/>
        <w:rPr>
          <w:rFonts w:asciiTheme="majorBidi" w:hAnsiTheme="majorBidi" w:cstheme="majorBidi"/>
          <w:sz w:val="24"/>
          <w:szCs w:val="24"/>
        </w:rPr>
      </w:pPr>
      <w:r w:rsidRPr="00C03057">
        <w:rPr>
          <w:rFonts w:asciiTheme="majorBidi" w:hAnsiTheme="majorBidi" w:cstheme="majorBidi"/>
          <w:sz w:val="24"/>
          <w:szCs w:val="24"/>
        </w:rPr>
        <w:t>PO – prefix indicates that this is Purchase Order</w:t>
      </w:r>
    </w:p>
    <w:p w:rsidR="00AA1E17" w:rsidRPr="00C03057" w:rsidRDefault="00AA1E17" w:rsidP="003C0DFF">
      <w:pPr>
        <w:pStyle w:val="PlainText"/>
        <w:ind w:left="720"/>
        <w:rPr>
          <w:rFonts w:asciiTheme="majorBidi" w:hAnsiTheme="majorBidi" w:cstheme="majorBidi"/>
          <w:sz w:val="24"/>
          <w:szCs w:val="24"/>
        </w:rPr>
      </w:pPr>
      <w:r w:rsidRPr="00C03057">
        <w:rPr>
          <w:rFonts w:asciiTheme="majorBidi" w:hAnsiTheme="majorBidi" w:cstheme="majorBidi"/>
          <w:sz w:val="24"/>
          <w:szCs w:val="24"/>
        </w:rPr>
        <w:t>POL – prefix indicates that this is Purchase Order Line</w:t>
      </w:r>
    </w:p>
    <w:p w:rsidR="00AA1E17" w:rsidRPr="00C03057" w:rsidRDefault="00AA1E17" w:rsidP="003C0DFF">
      <w:pPr>
        <w:pStyle w:val="PlainText"/>
        <w:ind w:left="720"/>
        <w:rPr>
          <w:rFonts w:asciiTheme="majorBidi" w:hAnsiTheme="majorBidi" w:cstheme="majorBidi"/>
          <w:sz w:val="24"/>
          <w:szCs w:val="24"/>
        </w:rPr>
      </w:pPr>
    </w:p>
    <w:p w:rsidR="00AA1E17" w:rsidRPr="00C03057" w:rsidRDefault="00AA1E17" w:rsidP="00804CA1">
      <w:pPr>
        <w:pStyle w:val="PlainText"/>
        <w:ind w:left="720"/>
        <w:rPr>
          <w:rFonts w:asciiTheme="majorBidi" w:hAnsiTheme="majorBidi" w:cstheme="majorBidi"/>
          <w:sz w:val="24"/>
          <w:szCs w:val="24"/>
        </w:rPr>
      </w:pPr>
      <w:r w:rsidRPr="00C03057">
        <w:rPr>
          <w:rFonts w:asciiTheme="majorBidi" w:hAnsiTheme="majorBidi" w:cstheme="majorBidi"/>
          <w:sz w:val="24"/>
          <w:szCs w:val="24"/>
        </w:rPr>
        <w:t xml:space="preserve">POLs (Purchase order lines) are packaged under PO (purchase order). </w:t>
      </w:r>
      <w:r w:rsidR="00254D55">
        <w:rPr>
          <w:rFonts w:asciiTheme="majorBidi" w:hAnsiTheme="majorBidi" w:cstheme="majorBidi"/>
          <w:sz w:val="24"/>
          <w:szCs w:val="24"/>
        </w:rPr>
        <w:t xml:space="preserve">In another words, </w:t>
      </w:r>
      <w:r w:rsidRPr="00C03057">
        <w:rPr>
          <w:rFonts w:asciiTheme="majorBidi" w:hAnsiTheme="majorBidi" w:cstheme="majorBidi"/>
          <w:sz w:val="24"/>
          <w:szCs w:val="24"/>
        </w:rPr>
        <w:t xml:space="preserve">POLs </w:t>
      </w:r>
      <w:r w:rsidR="00804CA1" w:rsidRPr="00C03057">
        <w:rPr>
          <w:rFonts w:asciiTheme="majorBidi" w:hAnsiTheme="majorBidi" w:cstheme="majorBidi"/>
          <w:sz w:val="24"/>
          <w:szCs w:val="24"/>
        </w:rPr>
        <w:t xml:space="preserve">combined under </w:t>
      </w:r>
      <w:r w:rsidRPr="00C03057">
        <w:rPr>
          <w:rFonts w:asciiTheme="majorBidi" w:hAnsiTheme="majorBidi" w:cstheme="majorBidi"/>
          <w:sz w:val="24"/>
          <w:szCs w:val="24"/>
        </w:rPr>
        <w:t xml:space="preserve">one PO when </w:t>
      </w:r>
      <w:r w:rsidR="00804CA1" w:rsidRPr="00C03057">
        <w:rPr>
          <w:rFonts w:asciiTheme="majorBidi" w:hAnsiTheme="majorBidi" w:cstheme="majorBidi"/>
          <w:sz w:val="24"/>
          <w:szCs w:val="24"/>
        </w:rPr>
        <w:t>packaged</w:t>
      </w:r>
      <w:r w:rsidR="00A100E2">
        <w:rPr>
          <w:rFonts w:asciiTheme="majorBidi" w:hAnsiTheme="majorBidi" w:cstheme="majorBidi"/>
          <w:sz w:val="24"/>
          <w:szCs w:val="24"/>
        </w:rPr>
        <w:t xml:space="preserve"> and sent to vendor.</w:t>
      </w:r>
      <w:r w:rsidR="004B15A2">
        <w:rPr>
          <w:rFonts w:asciiTheme="majorBidi" w:hAnsiTheme="majorBidi" w:cstheme="majorBidi"/>
          <w:sz w:val="24"/>
          <w:szCs w:val="24"/>
        </w:rPr>
        <w:t xml:space="preserve"> PO created by the system.</w:t>
      </w:r>
    </w:p>
    <w:p w:rsidR="00AA1E17" w:rsidRPr="00C03057" w:rsidRDefault="00AA1E17" w:rsidP="003C0DFF">
      <w:pPr>
        <w:pStyle w:val="PlainText"/>
        <w:ind w:left="720"/>
        <w:rPr>
          <w:rFonts w:asciiTheme="majorBidi" w:hAnsiTheme="majorBidi" w:cstheme="majorBidi"/>
          <w:sz w:val="24"/>
          <w:szCs w:val="24"/>
        </w:rPr>
      </w:pPr>
    </w:p>
    <w:p w:rsidR="003C0DFF" w:rsidRPr="00C03057" w:rsidRDefault="003C0DFF" w:rsidP="003C0DFF">
      <w:pPr>
        <w:pStyle w:val="PlainText"/>
        <w:ind w:left="720"/>
        <w:rPr>
          <w:rFonts w:asciiTheme="majorBidi" w:hAnsiTheme="majorBidi" w:cstheme="majorBidi"/>
          <w:sz w:val="24"/>
          <w:szCs w:val="24"/>
        </w:rPr>
      </w:pPr>
    </w:p>
    <w:p w:rsidR="003C0DFF" w:rsidRPr="00C03057" w:rsidRDefault="003C0DFF" w:rsidP="003C0DFF">
      <w:pPr>
        <w:pStyle w:val="PlainText"/>
        <w:numPr>
          <w:ilvl w:val="0"/>
          <w:numId w:val="3"/>
        </w:numPr>
        <w:rPr>
          <w:rFonts w:asciiTheme="majorBidi" w:hAnsiTheme="majorBidi" w:cstheme="majorBidi"/>
          <w:sz w:val="24"/>
          <w:szCs w:val="24"/>
        </w:rPr>
      </w:pPr>
      <w:r w:rsidRPr="00C03057">
        <w:rPr>
          <w:rFonts w:asciiTheme="majorBidi" w:hAnsiTheme="majorBidi" w:cstheme="majorBidi"/>
          <w:sz w:val="24"/>
          <w:szCs w:val="24"/>
        </w:rPr>
        <w:t>For continuous PO lines, can you explain more about what the Accrual Mode check-box does?</w:t>
      </w:r>
    </w:p>
    <w:p w:rsidR="0027314C" w:rsidRPr="00C03057" w:rsidRDefault="0027314C" w:rsidP="0027314C">
      <w:pPr>
        <w:spacing w:after="240"/>
        <w:rPr>
          <w:rFonts w:asciiTheme="majorBidi" w:eastAsia="Times New Roman" w:hAnsiTheme="majorBidi" w:cstheme="majorBidi"/>
          <w:sz w:val="24"/>
          <w:szCs w:val="24"/>
        </w:rPr>
      </w:pPr>
    </w:p>
    <w:p w:rsidR="00D25EB5" w:rsidRPr="00C03057" w:rsidRDefault="00D25EB5" w:rsidP="00D25EB5">
      <w:pPr>
        <w:spacing w:after="240"/>
        <w:rPr>
          <w:rFonts w:asciiTheme="majorBidi" w:eastAsia="Times New Roman" w:hAnsiTheme="majorBidi" w:cstheme="majorBidi"/>
          <w:sz w:val="24"/>
          <w:szCs w:val="24"/>
        </w:rPr>
      </w:pPr>
      <w:r w:rsidRPr="00C03057">
        <w:rPr>
          <w:rFonts w:asciiTheme="majorBidi" w:eastAsia="Times New Roman" w:hAnsiTheme="majorBidi" w:cstheme="majorBidi"/>
          <w:sz w:val="24"/>
          <w:szCs w:val="24"/>
        </w:rPr>
        <w:t>Answer:</w:t>
      </w:r>
    </w:p>
    <w:p w:rsidR="00AD0807" w:rsidRPr="00C03057" w:rsidRDefault="00AD0807" w:rsidP="00D25EB5">
      <w:pPr>
        <w:spacing w:after="240"/>
        <w:rPr>
          <w:rFonts w:asciiTheme="majorBidi" w:eastAsia="Times New Roman" w:hAnsiTheme="majorBidi" w:cstheme="majorBidi"/>
          <w:sz w:val="24"/>
          <w:szCs w:val="24"/>
        </w:rPr>
      </w:pPr>
      <w:r w:rsidRPr="00C03057">
        <w:rPr>
          <w:rFonts w:asciiTheme="majorBidi" w:eastAsia="Times New Roman" w:hAnsiTheme="majorBidi" w:cstheme="majorBidi"/>
          <w:sz w:val="24"/>
          <w:szCs w:val="24"/>
        </w:rPr>
        <w:t>Other Settings –</w:t>
      </w:r>
    </w:p>
    <w:p w:rsidR="00AD0807" w:rsidRPr="00C03057" w:rsidRDefault="00AD0807" w:rsidP="00D25EB5">
      <w:pPr>
        <w:spacing w:after="240"/>
        <w:rPr>
          <w:rFonts w:asciiTheme="majorBidi" w:hAnsiTheme="majorBidi" w:cstheme="majorBidi"/>
          <w:color w:val="000000"/>
          <w:sz w:val="24"/>
          <w:szCs w:val="24"/>
        </w:rPr>
      </w:pPr>
      <w:proofErr w:type="spellStart"/>
      <w:r w:rsidRPr="00C03057">
        <w:rPr>
          <w:rFonts w:asciiTheme="majorBidi" w:hAnsiTheme="majorBidi" w:cstheme="majorBidi"/>
          <w:color w:val="000000"/>
          <w:sz w:val="24"/>
          <w:szCs w:val="24"/>
        </w:rPr>
        <w:t>acquisition_accrual_mode</w:t>
      </w:r>
      <w:proofErr w:type="spellEnd"/>
      <w:r w:rsidRPr="00C03057">
        <w:rPr>
          <w:rFonts w:asciiTheme="majorBidi" w:hAnsiTheme="majorBidi" w:cstheme="majorBidi"/>
          <w:color w:val="000000"/>
          <w:sz w:val="24"/>
          <w:szCs w:val="24"/>
        </w:rPr>
        <w:t xml:space="preserve"> – true/false</w:t>
      </w:r>
    </w:p>
    <w:p w:rsidR="00ED5FBA" w:rsidRDefault="00AD0807" w:rsidP="00ED5FBA">
      <w:pPr>
        <w:spacing w:after="240"/>
        <w:rPr>
          <w:rFonts w:asciiTheme="majorBidi" w:hAnsiTheme="majorBidi" w:cstheme="majorBidi"/>
          <w:color w:val="000000"/>
          <w:lang w:val="en-GB"/>
        </w:rPr>
      </w:pPr>
      <w:r w:rsidRPr="00C03057">
        <w:rPr>
          <w:rFonts w:asciiTheme="majorBidi" w:hAnsiTheme="majorBidi" w:cstheme="majorBidi"/>
          <w:color w:val="000000"/>
          <w:sz w:val="24"/>
          <w:szCs w:val="24"/>
        </w:rPr>
        <w:lastRenderedPageBreak/>
        <w:t xml:space="preserve">Institutions that practice accrual accounting set this parameter to ‘true’ &gt; this will enable to accrue invoice expenditures from one fiscal period to another. It enables to have future fiscal period active, instead of </w:t>
      </w:r>
      <w:r w:rsidR="00ED5FBA">
        <w:rPr>
          <w:rFonts w:asciiTheme="majorBidi" w:hAnsiTheme="majorBidi" w:cstheme="majorBidi"/>
          <w:color w:val="000000"/>
          <w:sz w:val="24"/>
          <w:szCs w:val="24"/>
        </w:rPr>
        <w:t xml:space="preserve">one current fiscal period. </w:t>
      </w:r>
      <w:r w:rsidR="00ED5FBA" w:rsidRPr="00ED5FBA">
        <w:rPr>
          <w:rFonts w:asciiTheme="majorBidi" w:hAnsiTheme="majorBidi" w:cstheme="majorBidi"/>
          <w:color w:val="000000"/>
          <w:lang w:val="en-GB"/>
        </w:rPr>
        <w:t xml:space="preserve">There must also be two </w:t>
      </w:r>
      <w:r w:rsidR="00ED5FBA" w:rsidRPr="00ED5FBA">
        <w:rPr>
          <w:rFonts w:asciiTheme="majorBidi" w:hAnsiTheme="majorBidi" w:cstheme="majorBidi"/>
          <w:b/>
          <w:bCs/>
          <w:color w:val="000000"/>
          <w:lang w:val="en-GB"/>
        </w:rPr>
        <w:t>active</w:t>
      </w:r>
      <w:r w:rsidR="00ED5FBA">
        <w:rPr>
          <w:rFonts w:asciiTheme="majorBidi" w:hAnsiTheme="majorBidi" w:cstheme="majorBidi"/>
          <w:color w:val="000000"/>
          <w:lang w:val="en-GB"/>
        </w:rPr>
        <w:t xml:space="preserve"> fiscal periods – current and future.</w:t>
      </w:r>
    </w:p>
    <w:p w:rsidR="006D2224" w:rsidRPr="00ED5FBA" w:rsidRDefault="006D2224" w:rsidP="00ED5FBA">
      <w:pPr>
        <w:spacing w:after="240"/>
        <w:rPr>
          <w:rFonts w:asciiTheme="majorBidi" w:hAnsiTheme="majorBidi" w:cstheme="majorBidi"/>
          <w:color w:val="000000"/>
        </w:rPr>
      </w:pPr>
      <w:r>
        <w:rPr>
          <w:rFonts w:asciiTheme="majorBidi" w:hAnsiTheme="majorBidi" w:cstheme="majorBidi"/>
          <w:noProof/>
          <w:color w:val="000000"/>
        </w:rPr>
        <w:drawing>
          <wp:inline distT="0" distB="0" distL="0" distR="0">
            <wp:extent cx="5943600" cy="548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48640"/>
                    </a:xfrm>
                    <a:prstGeom prst="rect">
                      <a:avLst/>
                    </a:prstGeom>
                    <a:noFill/>
                    <a:ln>
                      <a:noFill/>
                    </a:ln>
                  </pic:spPr>
                </pic:pic>
              </a:graphicData>
            </a:graphic>
          </wp:inline>
        </w:drawing>
      </w:r>
    </w:p>
    <w:p w:rsidR="00727F40" w:rsidRPr="00C03057" w:rsidRDefault="00095659" w:rsidP="00D25EB5">
      <w:pPr>
        <w:numPr>
          <w:ilvl w:val="0"/>
          <w:numId w:val="7"/>
        </w:numPr>
        <w:spacing w:after="240"/>
        <w:rPr>
          <w:rFonts w:asciiTheme="majorBidi" w:eastAsia="Times New Roman" w:hAnsiTheme="majorBidi" w:cstheme="majorBidi"/>
          <w:sz w:val="24"/>
          <w:szCs w:val="24"/>
        </w:rPr>
      </w:pPr>
      <w:r w:rsidRPr="00C03057">
        <w:rPr>
          <w:rFonts w:asciiTheme="majorBidi" w:eastAsia="Times New Roman" w:hAnsiTheme="majorBidi" w:cstheme="majorBidi"/>
          <w:sz w:val="24"/>
          <w:szCs w:val="24"/>
        </w:rPr>
        <w:t>In Accrual Mode FPC allows the institution to have future FP as active and if the funds and ledgers are configured correctly these funds can accept encumbrance and expenditure transaction even before the FP Starts</w:t>
      </w:r>
    </w:p>
    <w:p w:rsidR="00727F40" w:rsidRDefault="00095659" w:rsidP="00D25EB5">
      <w:pPr>
        <w:numPr>
          <w:ilvl w:val="0"/>
          <w:numId w:val="7"/>
        </w:numPr>
        <w:spacing w:after="240"/>
        <w:rPr>
          <w:rFonts w:asciiTheme="majorBidi" w:eastAsia="Times New Roman" w:hAnsiTheme="majorBidi" w:cstheme="majorBidi"/>
          <w:sz w:val="24"/>
          <w:szCs w:val="24"/>
        </w:rPr>
      </w:pPr>
      <w:r w:rsidRPr="00C03057">
        <w:rPr>
          <w:rFonts w:asciiTheme="majorBidi" w:eastAsia="Times New Roman" w:hAnsiTheme="majorBidi" w:cstheme="majorBidi"/>
          <w:sz w:val="24"/>
          <w:szCs w:val="24"/>
        </w:rPr>
        <w:t>This allows the institution to set up the expenditure in a way that invoice is spread in more than one FP depending on the start and End subscription dates on the invoice</w:t>
      </w:r>
      <w:r w:rsidR="00F97E57">
        <w:rPr>
          <w:rFonts w:asciiTheme="majorBidi" w:eastAsia="Times New Roman" w:hAnsiTheme="majorBidi" w:cstheme="majorBidi"/>
          <w:sz w:val="24"/>
          <w:szCs w:val="24"/>
        </w:rPr>
        <w:t>.</w:t>
      </w:r>
    </w:p>
    <w:p w:rsidR="00F97E57" w:rsidRPr="00C754C2" w:rsidRDefault="00F97E57" w:rsidP="00F97E57">
      <w:pPr>
        <w:numPr>
          <w:ilvl w:val="0"/>
          <w:numId w:val="7"/>
        </w:numPr>
        <w:spacing w:after="240"/>
        <w:rPr>
          <w:rFonts w:asciiTheme="majorBidi" w:eastAsia="Times New Roman" w:hAnsiTheme="majorBidi" w:cstheme="majorBidi"/>
        </w:rPr>
      </w:pPr>
      <w:r w:rsidRPr="00F97E57">
        <w:rPr>
          <w:rFonts w:asciiTheme="majorBidi" w:eastAsia="Times New Roman" w:hAnsiTheme="majorBidi" w:cstheme="majorBidi"/>
          <w:lang w:val="en-GB"/>
        </w:rPr>
        <w:t xml:space="preserve">In Accrual Accounting expenses are recorded </w:t>
      </w:r>
      <w:r w:rsidRPr="00F97E57">
        <w:rPr>
          <w:rFonts w:asciiTheme="majorBidi" w:eastAsia="Times New Roman" w:hAnsiTheme="majorBidi" w:cstheme="majorBidi"/>
          <w:b/>
          <w:bCs/>
          <w:lang w:val="en-GB"/>
        </w:rPr>
        <w:t>at the time in which the transaction occurs rather than when payment is made</w:t>
      </w:r>
      <w:r>
        <w:rPr>
          <w:rFonts w:asciiTheme="majorBidi" w:eastAsia="Times New Roman" w:hAnsiTheme="majorBidi" w:cstheme="majorBidi"/>
          <w:lang w:val="en-GB"/>
        </w:rPr>
        <w:t>.</w:t>
      </w:r>
    </w:p>
    <w:p w:rsidR="00C754C2" w:rsidRPr="00C754C2" w:rsidRDefault="00C754C2" w:rsidP="00C754C2">
      <w:pPr>
        <w:numPr>
          <w:ilvl w:val="0"/>
          <w:numId w:val="7"/>
        </w:numPr>
        <w:spacing w:after="240"/>
        <w:rPr>
          <w:rFonts w:asciiTheme="majorBidi" w:eastAsia="Times New Roman" w:hAnsiTheme="majorBidi" w:cstheme="majorBidi"/>
        </w:rPr>
      </w:pPr>
      <w:r w:rsidRPr="00C754C2">
        <w:rPr>
          <w:rFonts w:asciiTheme="majorBidi" w:eastAsia="Times New Roman" w:hAnsiTheme="majorBidi" w:cstheme="majorBidi"/>
          <w:lang w:val="en-GB"/>
        </w:rPr>
        <w:t>Accrual accounting takes effect only on expenditures, and not on encumbrances.</w:t>
      </w:r>
      <w:r w:rsidR="008E140C">
        <w:rPr>
          <w:rFonts w:asciiTheme="majorBidi" w:eastAsia="Times New Roman" w:hAnsiTheme="majorBidi" w:cstheme="majorBidi"/>
          <w:lang w:val="en-GB"/>
        </w:rPr>
        <w:t xml:space="preserve"> </w:t>
      </w:r>
      <w:r w:rsidR="001B3060">
        <w:rPr>
          <w:rFonts w:asciiTheme="majorBidi" w:eastAsia="Times New Roman" w:hAnsiTheme="majorBidi" w:cstheme="majorBidi"/>
          <w:lang w:val="en-GB"/>
        </w:rPr>
        <w:t>Encumbrance’s</w:t>
      </w:r>
      <w:r w:rsidR="008E140C">
        <w:rPr>
          <w:rFonts w:asciiTheme="majorBidi" w:eastAsia="Times New Roman" w:hAnsiTheme="majorBidi" w:cstheme="majorBidi"/>
          <w:lang w:val="en-GB"/>
        </w:rPr>
        <w:t xml:space="preserve"> </w:t>
      </w:r>
      <w:r w:rsidR="001B3060">
        <w:rPr>
          <w:rFonts w:asciiTheme="majorBidi" w:eastAsia="Times New Roman" w:hAnsiTheme="majorBidi" w:cstheme="majorBidi"/>
          <w:lang w:val="en-GB"/>
        </w:rPr>
        <w:t xml:space="preserve">amount </w:t>
      </w:r>
      <w:r w:rsidR="008E140C">
        <w:rPr>
          <w:rFonts w:asciiTheme="majorBidi" w:eastAsia="Times New Roman" w:hAnsiTheme="majorBidi" w:cstheme="majorBidi"/>
          <w:lang w:val="en-GB"/>
        </w:rPr>
        <w:t xml:space="preserve">recorded </w:t>
      </w:r>
      <w:r w:rsidR="001B3060">
        <w:rPr>
          <w:rFonts w:asciiTheme="majorBidi" w:eastAsia="Times New Roman" w:hAnsiTheme="majorBidi" w:cstheme="majorBidi"/>
          <w:lang w:val="en-GB"/>
        </w:rPr>
        <w:t xml:space="preserve">in the current fiscal year fund transactions. </w:t>
      </w:r>
    </w:p>
    <w:p w:rsidR="00C754C2" w:rsidRPr="00C754C2" w:rsidRDefault="00C754C2" w:rsidP="00C754C2">
      <w:pPr>
        <w:numPr>
          <w:ilvl w:val="0"/>
          <w:numId w:val="7"/>
        </w:numPr>
        <w:spacing w:after="240"/>
        <w:rPr>
          <w:rFonts w:asciiTheme="majorBidi" w:eastAsia="Times New Roman" w:hAnsiTheme="majorBidi" w:cstheme="majorBidi"/>
        </w:rPr>
      </w:pPr>
      <w:r w:rsidRPr="00C754C2">
        <w:rPr>
          <w:rFonts w:asciiTheme="majorBidi" w:eastAsia="Times New Roman" w:hAnsiTheme="majorBidi" w:cstheme="majorBidi"/>
          <w:lang w:val="en-GB"/>
        </w:rPr>
        <w:t xml:space="preserve">When accrual accounting </w:t>
      </w:r>
      <w:r w:rsidRPr="00C754C2">
        <w:rPr>
          <w:rFonts w:asciiTheme="majorBidi" w:eastAsia="Times New Roman" w:hAnsiTheme="majorBidi" w:cstheme="majorBidi"/>
          <w:b/>
          <w:bCs/>
          <w:lang w:val="en-GB"/>
        </w:rPr>
        <w:t>is not enabled in Alma</w:t>
      </w:r>
      <w:r w:rsidRPr="00C754C2">
        <w:rPr>
          <w:rFonts w:asciiTheme="majorBidi" w:eastAsia="Times New Roman" w:hAnsiTheme="majorBidi" w:cstheme="majorBidi"/>
          <w:lang w:val="en-GB"/>
        </w:rPr>
        <w:t xml:space="preserve">, if an invoice overlaps two different fiscal periods, the entire invoice amount is attributed to the current fiscal period.  </w:t>
      </w:r>
    </w:p>
    <w:p w:rsidR="00727F40" w:rsidRPr="00C03057" w:rsidRDefault="00095659" w:rsidP="00AD0807">
      <w:pPr>
        <w:pStyle w:val="ListParagraph"/>
        <w:numPr>
          <w:ilvl w:val="0"/>
          <w:numId w:val="4"/>
        </w:numPr>
        <w:spacing w:after="240"/>
        <w:rPr>
          <w:rFonts w:asciiTheme="majorBidi" w:eastAsia="Times New Roman" w:hAnsiTheme="majorBidi" w:cstheme="majorBidi"/>
        </w:rPr>
      </w:pPr>
      <w:r w:rsidRPr="00C03057">
        <w:rPr>
          <w:rFonts w:asciiTheme="majorBidi" w:eastAsia="Times New Roman" w:hAnsiTheme="majorBidi" w:cstheme="majorBidi"/>
        </w:rPr>
        <w:t>This is related onl</w:t>
      </w:r>
      <w:r w:rsidR="00AD0807" w:rsidRPr="00C03057">
        <w:rPr>
          <w:rFonts w:asciiTheme="majorBidi" w:eastAsia="Times New Roman" w:hAnsiTheme="majorBidi" w:cstheme="majorBidi"/>
        </w:rPr>
        <w:t>y to invoice lines linking to Continuous</w:t>
      </w:r>
      <w:r w:rsidRPr="00C03057">
        <w:rPr>
          <w:rFonts w:asciiTheme="majorBidi" w:eastAsia="Times New Roman" w:hAnsiTheme="majorBidi" w:cstheme="majorBidi"/>
        </w:rPr>
        <w:t xml:space="preserve"> PO Lines.</w:t>
      </w:r>
    </w:p>
    <w:p w:rsidR="0032491B" w:rsidRDefault="0032491B" w:rsidP="00234D6D">
      <w:pPr>
        <w:pStyle w:val="ListParagraph"/>
        <w:numPr>
          <w:ilvl w:val="0"/>
          <w:numId w:val="4"/>
        </w:numPr>
        <w:spacing w:after="240"/>
        <w:rPr>
          <w:rFonts w:asciiTheme="majorBidi" w:eastAsia="Times New Roman" w:hAnsiTheme="majorBidi" w:cstheme="majorBidi"/>
        </w:rPr>
      </w:pPr>
      <w:r w:rsidRPr="00C03057">
        <w:rPr>
          <w:rFonts w:asciiTheme="majorBidi" w:eastAsia="Times New Roman" w:hAnsiTheme="majorBidi" w:cstheme="majorBidi"/>
        </w:rPr>
        <w:t xml:space="preserve">When accrual mode enabled – invoice line will have check box ‘Accrual Mode’. </w:t>
      </w:r>
    </w:p>
    <w:p w:rsidR="00C25778" w:rsidRDefault="00C25778" w:rsidP="00C25778">
      <w:pPr>
        <w:pStyle w:val="ListParagraph"/>
        <w:spacing w:after="240"/>
        <w:ind w:left="720"/>
        <w:rPr>
          <w:rFonts w:asciiTheme="majorBidi" w:eastAsia="Times New Roman" w:hAnsiTheme="majorBidi" w:cstheme="majorBidi"/>
        </w:rPr>
      </w:pPr>
      <w:r>
        <w:rPr>
          <w:rFonts w:asciiTheme="majorBidi" w:eastAsia="Times New Roman" w:hAnsiTheme="majorBidi" w:cstheme="majorBidi"/>
          <w:noProof/>
        </w:rPr>
        <w:lastRenderedPageBreak/>
        <w:drawing>
          <wp:inline distT="0" distB="0" distL="0" distR="0">
            <wp:extent cx="5934075" cy="3314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3314700"/>
                    </a:xfrm>
                    <a:prstGeom prst="rect">
                      <a:avLst/>
                    </a:prstGeom>
                    <a:noFill/>
                    <a:ln>
                      <a:noFill/>
                    </a:ln>
                  </pic:spPr>
                </pic:pic>
              </a:graphicData>
            </a:graphic>
          </wp:inline>
        </w:drawing>
      </w:r>
    </w:p>
    <w:p w:rsidR="009008AA" w:rsidRPr="009008AA" w:rsidRDefault="009008AA" w:rsidP="009008AA">
      <w:pPr>
        <w:pStyle w:val="ListParagraph"/>
        <w:numPr>
          <w:ilvl w:val="0"/>
          <w:numId w:val="4"/>
        </w:numPr>
        <w:spacing w:after="240"/>
        <w:rPr>
          <w:rFonts w:asciiTheme="majorBidi" w:eastAsia="Times New Roman" w:hAnsiTheme="majorBidi" w:cstheme="majorBidi"/>
        </w:rPr>
      </w:pPr>
      <w:r w:rsidRPr="009008AA">
        <w:rPr>
          <w:rFonts w:asciiTheme="majorBidi" w:eastAsia="Times New Roman" w:hAnsiTheme="majorBidi" w:cstheme="majorBidi"/>
          <w:lang w:val="en-GB"/>
        </w:rPr>
        <w:t>It is still possible to not use accrual mode on a “one by one” basis on the invoice level even though on the institution level accrual mode is activated.  This is done by unchecking the “Accrual Mode” check box.</w:t>
      </w:r>
    </w:p>
    <w:p w:rsidR="00F0196A" w:rsidRPr="00F0196A" w:rsidRDefault="0032491B" w:rsidP="00F0196A">
      <w:pPr>
        <w:pStyle w:val="ListParagraph"/>
        <w:numPr>
          <w:ilvl w:val="0"/>
          <w:numId w:val="4"/>
        </w:numPr>
        <w:spacing w:after="240"/>
        <w:rPr>
          <w:rFonts w:asciiTheme="majorBidi" w:hAnsiTheme="majorBidi" w:cstheme="majorBidi"/>
        </w:rPr>
      </w:pPr>
      <w:r w:rsidRPr="00C03057">
        <w:rPr>
          <w:rFonts w:asciiTheme="majorBidi" w:eastAsia="Times New Roman" w:hAnsiTheme="majorBidi" w:cstheme="majorBidi"/>
        </w:rPr>
        <w:t>If subscription period overlaps current fiscal year period, system will calculate amount of expenditure to transfer to the next fiscal period</w:t>
      </w:r>
      <w:r w:rsidR="00F0196A">
        <w:rPr>
          <w:rFonts w:asciiTheme="majorBidi" w:eastAsia="Times New Roman" w:hAnsiTheme="majorBidi" w:cstheme="majorBidi"/>
        </w:rPr>
        <w:t xml:space="preserve">. </w:t>
      </w:r>
      <w:r w:rsidR="00F0196A" w:rsidRPr="00F0196A">
        <w:rPr>
          <w:rFonts w:asciiTheme="majorBidi" w:eastAsia="Times New Roman" w:hAnsiTheme="majorBidi" w:cstheme="majorBidi"/>
        </w:rPr>
        <w:t>Automatically Alma will break down the expenditure from each of the included fiscal years and show the percent of each</w:t>
      </w:r>
    </w:p>
    <w:p w:rsidR="0032491B" w:rsidRPr="00C03057" w:rsidRDefault="0032491B" w:rsidP="0032491B">
      <w:pPr>
        <w:pStyle w:val="ListParagraph"/>
        <w:numPr>
          <w:ilvl w:val="0"/>
          <w:numId w:val="4"/>
        </w:numPr>
        <w:spacing w:after="240"/>
        <w:rPr>
          <w:rFonts w:asciiTheme="majorBidi" w:eastAsia="Times New Roman" w:hAnsiTheme="majorBidi" w:cstheme="majorBidi"/>
        </w:rPr>
      </w:pPr>
      <w:r w:rsidRPr="00C03057">
        <w:rPr>
          <w:rFonts w:asciiTheme="majorBidi" w:hAnsiTheme="majorBidi" w:cstheme="majorBidi"/>
          <w:color w:val="000000"/>
        </w:rPr>
        <w:t>There should be fund configured in the next fiscal period to accept expenditure transactions.</w:t>
      </w:r>
    </w:p>
    <w:p w:rsidR="0032491B" w:rsidRPr="0082501A" w:rsidRDefault="0032491B" w:rsidP="0032491B">
      <w:pPr>
        <w:pStyle w:val="ListParagraph"/>
        <w:numPr>
          <w:ilvl w:val="0"/>
          <w:numId w:val="4"/>
        </w:numPr>
        <w:spacing w:after="240"/>
        <w:rPr>
          <w:rFonts w:asciiTheme="majorBidi" w:eastAsia="Times New Roman" w:hAnsiTheme="majorBidi" w:cstheme="majorBidi"/>
        </w:rPr>
      </w:pPr>
      <w:r w:rsidRPr="00C03057">
        <w:rPr>
          <w:rFonts w:asciiTheme="majorBidi" w:hAnsiTheme="majorBidi" w:cstheme="majorBidi"/>
          <w:color w:val="000000"/>
        </w:rPr>
        <w:t xml:space="preserve">Fund Rules should be updated to enable transaction - </w:t>
      </w:r>
      <w:r w:rsidRPr="00C03057">
        <w:rPr>
          <w:rStyle w:val="screenelement"/>
          <w:rFonts w:asciiTheme="majorBidi" w:hAnsiTheme="majorBidi" w:cstheme="majorBidi"/>
          <w:b/>
          <w:bCs/>
          <w:color w:val="000000"/>
        </w:rPr>
        <w:t>Expenditures prior to fiscal period (days)</w:t>
      </w:r>
      <w:r w:rsidRPr="00C03057">
        <w:rPr>
          <w:rStyle w:val="apple-converted-space"/>
          <w:rFonts w:asciiTheme="majorBidi" w:hAnsiTheme="majorBidi" w:cstheme="majorBidi"/>
          <w:color w:val="000000"/>
        </w:rPr>
        <w:t> </w:t>
      </w:r>
      <w:r w:rsidRPr="00C03057">
        <w:rPr>
          <w:rFonts w:asciiTheme="majorBidi" w:hAnsiTheme="majorBidi" w:cstheme="majorBidi"/>
          <w:color w:val="000000"/>
        </w:rPr>
        <w:t>field in the</w:t>
      </w:r>
      <w:r w:rsidRPr="00C03057">
        <w:rPr>
          <w:rStyle w:val="apple-converted-space"/>
          <w:rFonts w:asciiTheme="majorBidi" w:hAnsiTheme="majorBidi" w:cstheme="majorBidi"/>
          <w:color w:val="000000"/>
        </w:rPr>
        <w:t> </w:t>
      </w:r>
      <w:r w:rsidRPr="00C03057">
        <w:rPr>
          <w:rStyle w:val="screenelement"/>
          <w:rFonts w:asciiTheme="majorBidi" w:hAnsiTheme="majorBidi" w:cstheme="majorBidi"/>
          <w:b/>
          <w:bCs/>
          <w:color w:val="000000"/>
        </w:rPr>
        <w:t>Rules</w:t>
      </w:r>
      <w:r w:rsidRPr="00C03057">
        <w:rPr>
          <w:rStyle w:val="apple-converted-space"/>
          <w:rFonts w:asciiTheme="majorBidi" w:hAnsiTheme="majorBidi" w:cstheme="majorBidi"/>
          <w:color w:val="000000"/>
        </w:rPr>
        <w:t> </w:t>
      </w:r>
      <w:r w:rsidRPr="00C03057">
        <w:rPr>
          <w:rFonts w:asciiTheme="majorBidi" w:hAnsiTheme="majorBidi" w:cstheme="majorBidi"/>
          <w:color w:val="000000"/>
        </w:rPr>
        <w:t>section for the specified fund.</w:t>
      </w:r>
    </w:p>
    <w:p w:rsidR="0082501A" w:rsidRPr="00C03057" w:rsidRDefault="0082501A" w:rsidP="0082501A">
      <w:pPr>
        <w:pStyle w:val="ListParagraph"/>
        <w:spacing w:after="240"/>
        <w:ind w:left="720"/>
        <w:rPr>
          <w:rFonts w:asciiTheme="majorBidi" w:eastAsia="Times New Roman" w:hAnsiTheme="majorBidi" w:cstheme="majorBidi"/>
        </w:rPr>
      </w:pPr>
      <w:r>
        <w:rPr>
          <w:rFonts w:asciiTheme="majorBidi" w:eastAsia="Times New Roman" w:hAnsiTheme="majorBidi" w:cstheme="majorBidi"/>
          <w:noProof/>
        </w:rPr>
        <w:drawing>
          <wp:inline distT="0" distB="0" distL="0" distR="0">
            <wp:extent cx="2560320"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0320" cy="548640"/>
                    </a:xfrm>
                    <a:prstGeom prst="rect">
                      <a:avLst/>
                    </a:prstGeom>
                    <a:noFill/>
                    <a:ln>
                      <a:noFill/>
                    </a:ln>
                  </pic:spPr>
                </pic:pic>
              </a:graphicData>
            </a:graphic>
          </wp:inline>
        </w:drawing>
      </w:r>
    </w:p>
    <w:p w:rsidR="00D25EB5" w:rsidRPr="00C03057" w:rsidRDefault="002648CE" w:rsidP="002648CE">
      <w:pPr>
        <w:pStyle w:val="ListParagraph"/>
        <w:spacing w:after="240"/>
        <w:ind w:left="720"/>
        <w:rPr>
          <w:rFonts w:asciiTheme="majorBidi" w:eastAsia="Times New Roman" w:hAnsiTheme="majorBidi" w:cstheme="majorBidi"/>
        </w:rPr>
      </w:pPr>
      <w:r w:rsidRPr="00C03057">
        <w:rPr>
          <w:rFonts w:asciiTheme="majorBidi" w:hAnsiTheme="majorBidi" w:cstheme="majorBidi"/>
          <w:color w:val="000000"/>
        </w:rPr>
        <w:t>For more information see:</w:t>
      </w:r>
      <w:r w:rsidR="0032491B" w:rsidRPr="00C03057">
        <w:rPr>
          <w:rFonts w:asciiTheme="majorBidi" w:hAnsiTheme="majorBidi" w:cstheme="majorBidi"/>
          <w:color w:val="000000"/>
        </w:rPr>
        <w:t xml:space="preserve"> </w:t>
      </w:r>
      <w:hyperlink r:id="rId22" w:anchor="Working_With_Accrual_Accounting" w:history="1">
        <w:r w:rsidRPr="00C03057">
          <w:rPr>
            <w:rStyle w:val="Hyperlink"/>
            <w:rFonts w:asciiTheme="majorBidi" w:eastAsia="Times New Roman" w:hAnsiTheme="majorBidi" w:cstheme="majorBidi"/>
          </w:rPr>
          <w:t>http://knowledge.exlibrisgroup.com/Alma/Product_Documentation/Alma_Online_Help_(English)/Acquisitions/030Invoicing/020Creating_Invoices#Working_With_Accrual_Accounting</w:t>
        </w:r>
      </w:hyperlink>
    </w:p>
    <w:p w:rsidR="0032491B" w:rsidRPr="00C03057" w:rsidRDefault="0032491B" w:rsidP="0027314C">
      <w:pPr>
        <w:spacing w:after="240"/>
        <w:rPr>
          <w:rFonts w:asciiTheme="majorBidi" w:eastAsia="Times New Roman" w:hAnsiTheme="majorBidi" w:cstheme="majorBidi"/>
          <w:sz w:val="24"/>
          <w:szCs w:val="24"/>
        </w:rPr>
      </w:pPr>
    </w:p>
    <w:p w:rsidR="00500933" w:rsidRPr="00C03057" w:rsidRDefault="00500933" w:rsidP="00F525CD">
      <w:pPr>
        <w:pStyle w:val="ListParagraph"/>
        <w:numPr>
          <w:ilvl w:val="0"/>
          <w:numId w:val="3"/>
        </w:numPr>
        <w:rPr>
          <w:rFonts w:asciiTheme="majorBidi" w:eastAsia="Times New Roman" w:hAnsiTheme="majorBidi" w:cstheme="majorBidi"/>
        </w:rPr>
      </w:pPr>
      <w:r w:rsidRPr="00C03057">
        <w:rPr>
          <w:rFonts w:asciiTheme="majorBidi" w:eastAsia="Times New Roman" w:hAnsiTheme="majorBidi" w:cstheme="majorBidi"/>
        </w:rPr>
        <w:t>Does Alma Acquisitions assign voucher numbers for invoices that are posted for payment? </w:t>
      </w:r>
      <w:r w:rsidRPr="00C03057">
        <w:rPr>
          <w:rFonts w:asciiTheme="majorBidi" w:eastAsia="Times New Roman" w:hAnsiTheme="majorBidi" w:cstheme="majorBidi"/>
        </w:rPr>
        <w:br/>
        <w:t xml:space="preserve">In the Alma video for 1.7 Prepaid and Internal Copy, the example showed we can input a voucher number....but we are used to our system assigning voucher numbers upon </w:t>
      </w:r>
      <w:r w:rsidRPr="00C03057">
        <w:rPr>
          <w:rFonts w:asciiTheme="majorBidi" w:eastAsia="Times New Roman" w:hAnsiTheme="majorBidi" w:cstheme="majorBidi"/>
        </w:rPr>
        <w:lastRenderedPageBreak/>
        <w:t>posting of payment. The assigned voucher number, voucher amounts, and vendor information are then exported to the ERP (Enterprise Resource Planning System - PeopleSoft). We haven't ever had to create a voucher num</w:t>
      </w:r>
      <w:r w:rsidR="00292308" w:rsidRPr="00C03057">
        <w:rPr>
          <w:rFonts w:asciiTheme="majorBidi" w:eastAsia="Times New Roman" w:hAnsiTheme="majorBidi" w:cstheme="majorBidi"/>
        </w:rPr>
        <w:t xml:space="preserve">ber or had it referred to an </w:t>
      </w:r>
      <w:r w:rsidRPr="00C03057">
        <w:rPr>
          <w:rFonts w:asciiTheme="majorBidi" w:eastAsia="Times New Roman" w:hAnsiTheme="majorBidi" w:cstheme="majorBidi"/>
        </w:rPr>
        <w:t>external reference number before. </w:t>
      </w:r>
    </w:p>
    <w:p w:rsidR="00500933" w:rsidRDefault="003C0DFF">
      <w:pPr>
        <w:rPr>
          <w:rFonts w:asciiTheme="majorBidi" w:hAnsiTheme="majorBidi" w:cstheme="majorBidi"/>
          <w:sz w:val="24"/>
          <w:szCs w:val="24"/>
        </w:rPr>
      </w:pPr>
      <w:r w:rsidRPr="00C03057">
        <w:rPr>
          <w:rFonts w:asciiTheme="majorBidi" w:hAnsiTheme="majorBidi" w:cstheme="majorBidi"/>
          <w:sz w:val="24"/>
          <w:szCs w:val="24"/>
        </w:rPr>
        <w:t>Answer:</w:t>
      </w:r>
    </w:p>
    <w:p w:rsidR="00CD404E" w:rsidRDefault="00CD404E">
      <w:pPr>
        <w:rPr>
          <w:rFonts w:asciiTheme="majorBidi" w:hAnsiTheme="majorBidi" w:cstheme="majorBidi"/>
          <w:sz w:val="24"/>
          <w:szCs w:val="24"/>
        </w:rPr>
      </w:pPr>
      <w:r>
        <w:rPr>
          <w:rFonts w:asciiTheme="majorBidi" w:hAnsiTheme="majorBidi" w:cstheme="majorBidi"/>
          <w:sz w:val="24"/>
          <w:szCs w:val="24"/>
        </w:rPr>
        <w:t>Voucher in Alma entered when payment recorded. If payment recorded manually</w:t>
      </w:r>
      <w:r w:rsidR="008218E1">
        <w:rPr>
          <w:rFonts w:asciiTheme="majorBidi" w:hAnsiTheme="majorBidi" w:cstheme="majorBidi"/>
          <w:sz w:val="24"/>
          <w:szCs w:val="24"/>
        </w:rPr>
        <w:t xml:space="preserve"> on an invoice</w:t>
      </w:r>
      <w:r>
        <w:rPr>
          <w:rFonts w:asciiTheme="majorBidi" w:hAnsiTheme="majorBidi" w:cstheme="majorBidi"/>
          <w:sz w:val="24"/>
          <w:szCs w:val="24"/>
        </w:rPr>
        <w:t>, voucher is entered by operator.</w:t>
      </w:r>
    </w:p>
    <w:p w:rsidR="00CD404E" w:rsidRDefault="00CD404E">
      <w:pPr>
        <w:rPr>
          <w:rFonts w:asciiTheme="majorBidi" w:hAnsiTheme="majorBidi" w:cstheme="majorBidi"/>
          <w:sz w:val="24"/>
          <w:szCs w:val="24"/>
        </w:rPr>
      </w:pPr>
      <w:r>
        <w:rPr>
          <w:rFonts w:asciiTheme="majorBidi" w:hAnsiTheme="majorBidi" w:cstheme="majorBidi"/>
          <w:sz w:val="24"/>
          <w:szCs w:val="24"/>
        </w:rPr>
        <w:t>If payment uploaded automatically, voucher number is coming from the uploaded data.</w:t>
      </w:r>
    </w:p>
    <w:p w:rsidR="00CD404E" w:rsidRPr="00C03057" w:rsidRDefault="00CD404E">
      <w:pPr>
        <w:rPr>
          <w:rFonts w:asciiTheme="majorBidi" w:hAnsiTheme="majorBidi" w:cstheme="majorBidi"/>
          <w:sz w:val="24"/>
          <w:szCs w:val="24"/>
        </w:rPr>
      </w:pPr>
    </w:p>
    <w:p w:rsidR="003C0DFF" w:rsidRPr="00C03057" w:rsidRDefault="00CD404E">
      <w:pPr>
        <w:rPr>
          <w:rFonts w:asciiTheme="majorBidi" w:hAnsiTheme="majorBidi" w:cstheme="majorBidi"/>
          <w:sz w:val="24"/>
          <w:szCs w:val="24"/>
        </w:rPr>
      </w:pPr>
      <w:r>
        <w:rPr>
          <w:rFonts w:asciiTheme="majorBidi" w:hAnsiTheme="majorBidi" w:cstheme="majorBidi"/>
          <w:sz w:val="24"/>
          <w:szCs w:val="24"/>
        </w:rPr>
        <w:t xml:space="preserve">Important </w:t>
      </w:r>
      <w:r w:rsidR="003C0DFF" w:rsidRPr="00C03057">
        <w:rPr>
          <w:rFonts w:asciiTheme="majorBidi" w:hAnsiTheme="majorBidi" w:cstheme="majorBidi"/>
          <w:sz w:val="24"/>
          <w:szCs w:val="24"/>
        </w:rPr>
        <w:t>Other Settings definitions:</w:t>
      </w:r>
    </w:p>
    <w:p w:rsidR="003C0DFF" w:rsidRPr="00C03057" w:rsidRDefault="003C0DFF">
      <w:pPr>
        <w:rPr>
          <w:rFonts w:asciiTheme="majorBidi" w:hAnsiTheme="majorBidi" w:cstheme="majorBidi"/>
          <w:color w:val="000000"/>
          <w:sz w:val="24"/>
          <w:szCs w:val="24"/>
        </w:rPr>
      </w:pPr>
      <w:proofErr w:type="spellStart"/>
      <w:r w:rsidRPr="00C03057">
        <w:rPr>
          <w:rFonts w:asciiTheme="majorBidi" w:hAnsiTheme="majorBidi" w:cstheme="majorBidi"/>
          <w:color w:val="000000"/>
          <w:sz w:val="24"/>
          <w:szCs w:val="24"/>
        </w:rPr>
        <w:t>invoice_skip_erp</w:t>
      </w:r>
      <w:proofErr w:type="spellEnd"/>
      <w:r w:rsidRPr="00C03057">
        <w:rPr>
          <w:rFonts w:asciiTheme="majorBidi" w:hAnsiTheme="majorBidi" w:cstheme="majorBidi"/>
          <w:color w:val="000000"/>
          <w:sz w:val="24"/>
          <w:szCs w:val="24"/>
        </w:rPr>
        <w:t xml:space="preserve"> – &gt; true – do not export to ERP; false – do export to ERP</w:t>
      </w:r>
    </w:p>
    <w:p w:rsidR="003C0DFF" w:rsidRPr="00C03057" w:rsidRDefault="003C0DFF">
      <w:pPr>
        <w:rPr>
          <w:rFonts w:asciiTheme="majorBidi" w:hAnsiTheme="majorBidi" w:cstheme="majorBidi"/>
          <w:color w:val="000000"/>
          <w:sz w:val="24"/>
          <w:szCs w:val="24"/>
        </w:rPr>
      </w:pPr>
      <w:proofErr w:type="spellStart"/>
      <w:r w:rsidRPr="00C03057">
        <w:rPr>
          <w:rFonts w:asciiTheme="majorBidi" w:hAnsiTheme="majorBidi" w:cstheme="majorBidi"/>
          <w:color w:val="000000"/>
          <w:sz w:val="24"/>
          <w:szCs w:val="24"/>
        </w:rPr>
        <w:t>handle_invoice_payment</w:t>
      </w:r>
      <w:proofErr w:type="spellEnd"/>
      <w:r w:rsidRPr="00C03057">
        <w:rPr>
          <w:rFonts w:asciiTheme="majorBidi" w:hAnsiTheme="majorBidi" w:cstheme="majorBidi"/>
          <w:color w:val="000000"/>
          <w:sz w:val="24"/>
          <w:szCs w:val="24"/>
        </w:rPr>
        <w:t xml:space="preserve"> – &gt; false – when invoice exported to ERP it is closed; true – enable handle payment in Alma manually or automatic import payment from ERP.</w:t>
      </w:r>
    </w:p>
    <w:p w:rsidR="003C0DFF" w:rsidRPr="00C03057" w:rsidRDefault="003C0DFF">
      <w:pPr>
        <w:rPr>
          <w:rFonts w:asciiTheme="majorBidi" w:hAnsiTheme="majorBidi" w:cstheme="majorBidi"/>
          <w:color w:val="000000"/>
          <w:sz w:val="24"/>
          <w:szCs w:val="24"/>
        </w:rPr>
      </w:pPr>
      <w:proofErr w:type="spellStart"/>
      <w:r w:rsidRPr="00C03057">
        <w:rPr>
          <w:rFonts w:asciiTheme="majorBidi" w:hAnsiTheme="majorBidi" w:cstheme="majorBidi"/>
          <w:color w:val="000000"/>
          <w:sz w:val="24"/>
          <w:szCs w:val="24"/>
        </w:rPr>
        <w:t>exportPrepaidInv</w:t>
      </w:r>
      <w:proofErr w:type="spellEnd"/>
      <w:r w:rsidRPr="00C03057">
        <w:rPr>
          <w:rFonts w:asciiTheme="majorBidi" w:hAnsiTheme="majorBidi" w:cstheme="majorBidi"/>
          <w:color w:val="000000"/>
          <w:sz w:val="24"/>
          <w:szCs w:val="24"/>
        </w:rPr>
        <w:t xml:space="preserve"> – Enable to export to ERP prepaid invoices - &gt; true – check box ‘Export to ERP’ will display when invoice marked as Prepaid; false </w:t>
      </w:r>
      <w:r w:rsidR="006C5A9C" w:rsidRPr="00C03057">
        <w:rPr>
          <w:rFonts w:asciiTheme="majorBidi" w:hAnsiTheme="majorBidi" w:cstheme="majorBidi"/>
          <w:color w:val="000000"/>
          <w:sz w:val="24"/>
          <w:szCs w:val="24"/>
        </w:rPr>
        <w:t>–</w:t>
      </w:r>
      <w:r w:rsidRPr="00C03057">
        <w:rPr>
          <w:rFonts w:asciiTheme="majorBidi" w:hAnsiTheme="majorBidi" w:cstheme="majorBidi"/>
          <w:color w:val="000000"/>
          <w:sz w:val="24"/>
          <w:szCs w:val="24"/>
        </w:rPr>
        <w:t xml:space="preserve"> </w:t>
      </w:r>
      <w:r w:rsidR="006C5A9C" w:rsidRPr="00C03057">
        <w:rPr>
          <w:rFonts w:asciiTheme="majorBidi" w:hAnsiTheme="majorBidi" w:cstheme="majorBidi"/>
          <w:color w:val="000000"/>
          <w:sz w:val="24"/>
          <w:szCs w:val="24"/>
        </w:rPr>
        <w:t>no export to ERP option for prepaid invoices.</w:t>
      </w:r>
    </w:p>
    <w:p w:rsidR="006C5A9C" w:rsidRDefault="006C5A9C">
      <w:pPr>
        <w:rPr>
          <w:rFonts w:asciiTheme="majorBidi" w:hAnsiTheme="majorBidi" w:cstheme="majorBidi"/>
          <w:color w:val="000000"/>
          <w:sz w:val="24"/>
          <w:szCs w:val="24"/>
        </w:rPr>
      </w:pPr>
    </w:p>
    <w:p w:rsidR="006B3E2D" w:rsidRDefault="006B3E2D" w:rsidP="006B3E2D">
      <w:r>
        <w:t>What is the difference between "Change Bib Reference" and "Relink" when editing a PO?  It seems like both of those have to do with changing the bib record the PO Line is associated with.</w:t>
      </w:r>
    </w:p>
    <w:p w:rsidR="00D9537F" w:rsidRDefault="006672C0">
      <w:pPr>
        <w:rPr>
          <w:rFonts w:asciiTheme="majorBidi" w:hAnsiTheme="majorBidi" w:cstheme="majorBidi"/>
          <w:color w:val="000000"/>
          <w:sz w:val="24"/>
          <w:szCs w:val="24"/>
        </w:rPr>
      </w:pPr>
      <w:hyperlink r:id="rId23" w:anchor="Relinking_PO_Lines" w:history="1">
        <w:r w:rsidR="00D9537F" w:rsidRPr="00611186">
          <w:rPr>
            <w:rStyle w:val="Hyperlink"/>
            <w:rFonts w:asciiTheme="majorBidi" w:hAnsiTheme="majorBidi" w:cstheme="majorBidi"/>
            <w:sz w:val="24"/>
            <w:szCs w:val="24"/>
          </w:rPr>
          <w:t>http://knowledge.exlibrisgroup.com/Alma/Product_Documentation/Alma_Online_Help_(English)/Acquisitions/020Purchasing/110Closing%2C_Reopening%2C_and_Relinking_PO_Lines#Relinking_PO_Lines</w:t>
        </w:r>
      </w:hyperlink>
    </w:p>
    <w:p w:rsidR="00095659" w:rsidRDefault="00095659">
      <w:pPr>
        <w:rPr>
          <w:rFonts w:asciiTheme="majorBidi" w:hAnsiTheme="majorBidi" w:cstheme="majorBidi"/>
          <w:color w:val="000000"/>
          <w:sz w:val="24"/>
          <w:szCs w:val="24"/>
        </w:rPr>
      </w:pPr>
    </w:p>
    <w:p w:rsidR="001C2AB3" w:rsidRDefault="001C2AB3" w:rsidP="001C2AB3">
      <w:r>
        <w:t xml:space="preserve">Building </w:t>
      </w:r>
      <w:proofErr w:type="spellStart"/>
      <w:r>
        <w:t>POLines</w:t>
      </w:r>
      <w:proofErr w:type="spellEnd"/>
      <w:r>
        <w:t xml:space="preserve">, how does </w:t>
      </w:r>
      <w:proofErr w:type="gramStart"/>
      <w:r>
        <w:t>alma</w:t>
      </w:r>
      <w:proofErr w:type="gramEnd"/>
      <w:r>
        <w:t xml:space="preserve"> then gather them into a single PO? I guess I'm referring to buying individual books from a vendor, I'm buying various books</w:t>
      </w:r>
    </w:p>
    <w:p w:rsidR="00095659" w:rsidRDefault="00095659">
      <w:pPr>
        <w:rPr>
          <w:rFonts w:asciiTheme="majorBidi" w:hAnsiTheme="majorBidi" w:cstheme="majorBidi"/>
          <w:color w:val="000000"/>
          <w:sz w:val="24"/>
          <w:szCs w:val="24"/>
        </w:rPr>
      </w:pPr>
      <w:r>
        <w:rPr>
          <w:rFonts w:asciiTheme="majorBidi" w:hAnsiTheme="majorBidi" w:cstheme="majorBidi"/>
          <w:color w:val="000000"/>
          <w:sz w:val="24"/>
          <w:szCs w:val="24"/>
        </w:rPr>
        <w:t>Packaging</w:t>
      </w:r>
    </w:p>
    <w:p w:rsidR="00095659" w:rsidRDefault="006672C0">
      <w:pPr>
        <w:rPr>
          <w:rFonts w:asciiTheme="majorBidi" w:hAnsiTheme="majorBidi" w:cstheme="majorBidi"/>
          <w:color w:val="000000"/>
          <w:sz w:val="24"/>
          <w:szCs w:val="24"/>
        </w:rPr>
      </w:pPr>
      <w:hyperlink r:id="rId24" w:history="1">
        <w:r w:rsidR="00095659" w:rsidRPr="00611186">
          <w:rPr>
            <w:rStyle w:val="Hyperlink"/>
            <w:rFonts w:asciiTheme="majorBidi" w:hAnsiTheme="majorBidi" w:cstheme="majorBidi"/>
            <w:sz w:val="24"/>
            <w:szCs w:val="24"/>
          </w:rPr>
          <w:t>http://knowledge.exlibrisgroup.com/Alma/Product_Documentation/Alma_Online_Help_(English)/Acquisitions/020Purchasing/050Packaging_PO_Lines_into_a_PO</w:t>
        </w:r>
      </w:hyperlink>
    </w:p>
    <w:p w:rsidR="00095659" w:rsidRDefault="00095659">
      <w:pPr>
        <w:rPr>
          <w:rFonts w:asciiTheme="majorBidi" w:hAnsiTheme="majorBidi" w:cstheme="majorBidi"/>
          <w:color w:val="000000"/>
          <w:sz w:val="24"/>
          <w:szCs w:val="24"/>
        </w:rPr>
      </w:pPr>
    </w:p>
    <w:p w:rsidR="00964B73" w:rsidRDefault="00964B73" w:rsidP="00964B73">
      <w:r>
        <w:t>What</w:t>
      </w:r>
      <w:r>
        <w:t xml:space="preserve"> are the functional implications of the "PO Line Owner"?  </w:t>
      </w:r>
    </w:p>
    <w:p w:rsidR="00964B73" w:rsidRDefault="00964B73">
      <w:r>
        <w:t xml:space="preserve">When creating a PO line, the </w:t>
      </w:r>
      <w:r>
        <w:rPr>
          <w:rStyle w:val="screenelement"/>
        </w:rPr>
        <w:t>PO line owner</w:t>
      </w:r>
      <w:r>
        <w:t xml:space="preserve"> refers to the library creating the PO line, while the </w:t>
      </w:r>
      <w:r>
        <w:rPr>
          <w:rStyle w:val="screenelement"/>
        </w:rPr>
        <w:t>intended locations/access</w:t>
      </w:r>
      <w:r>
        <w:t xml:space="preserve"> refers to the library for which the order is being placed.</w:t>
      </w:r>
    </w:p>
    <w:p w:rsidR="00964B73" w:rsidRDefault="00964B73" w:rsidP="00964B73">
      <w:r>
        <w:t>List of libraries appearing in the drop-down depending on Purchase Operator role scope.</w:t>
      </w:r>
    </w:p>
    <w:p w:rsidR="00964B73" w:rsidRDefault="00392B0E" w:rsidP="00964B73">
      <w:r>
        <w:lastRenderedPageBreak/>
        <w:t>Libraries for which ordering library can acquire depends on relationship settings between libraries (Acquire for).</w:t>
      </w:r>
    </w:p>
    <w:p w:rsidR="006672C0" w:rsidRDefault="006672C0" w:rsidP="006B3E2D"/>
    <w:p w:rsidR="006B3E2D" w:rsidRDefault="006B3E2D" w:rsidP="006B3E2D">
      <w:bookmarkStart w:id="0" w:name="_GoBack"/>
      <w:bookmarkEnd w:id="0"/>
      <w:r>
        <w:t>Can you describe some example use cases of PO Line Templates?</w:t>
      </w:r>
    </w:p>
    <w:p w:rsidR="006672C0" w:rsidRDefault="006672C0" w:rsidP="006672C0">
      <w:r>
        <w:t>PO Line Templates: I don't think every field can be saved/added to the template</w:t>
      </w:r>
    </w:p>
    <w:p w:rsidR="00392B0E" w:rsidRDefault="006B3E2D" w:rsidP="00964B73">
      <w:r>
        <w:t>See details and fields that can be saved in the document:</w:t>
      </w:r>
    </w:p>
    <w:p w:rsidR="006B3E2D" w:rsidRDefault="006B3E2D" w:rsidP="00964B73">
      <w:hyperlink r:id="rId25" w:history="1">
        <w:r w:rsidRPr="00F8445C">
          <w:rPr>
            <w:rStyle w:val="Hyperlink"/>
          </w:rPr>
          <w:t>http://knowledge.exlibrisgroup.com/Alma/Product_Documentation/Alma_Online_Help_%28English%29/Acquisitions/020Purchasing/020Creating_PO_Lines/030Manually_Creating_a_PO_Line#Working_with_PO_Line_Templates</w:t>
        </w:r>
      </w:hyperlink>
    </w:p>
    <w:p w:rsidR="00857A0E" w:rsidRDefault="00857A0E" w:rsidP="00964B73"/>
    <w:p w:rsidR="00857A0E" w:rsidRDefault="00857A0E" w:rsidP="00857A0E">
      <w:r>
        <w:t>There was a presentation on Fiscal Close done last week or so.  Could the link to the recording of this be added to your notes?  It may be helpful to this group.</w:t>
      </w:r>
    </w:p>
    <w:p w:rsidR="00500478" w:rsidRDefault="00500478" w:rsidP="00500478">
      <w:r>
        <w:t>To view a copy of the recording, please click here.</w:t>
      </w:r>
    </w:p>
    <w:p w:rsidR="00500478" w:rsidRDefault="00500478" w:rsidP="00500478">
      <w:r>
        <w:t xml:space="preserve">Password: </w:t>
      </w:r>
      <w:proofErr w:type="spellStart"/>
      <w:r>
        <w:t>AlmaSupport</w:t>
      </w:r>
      <w:proofErr w:type="spellEnd"/>
    </w:p>
    <w:p w:rsidR="00500478" w:rsidRDefault="00500478" w:rsidP="00500478">
      <w:proofErr w:type="gramStart"/>
      <w:r>
        <w:t>from</w:t>
      </w:r>
      <w:proofErr w:type="gramEnd"/>
      <w:r>
        <w:t xml:space="preserve"> Moon Kim (privately):</w:t>
      </w:r>
    </w:p>
    <w:p w:rsidR="00500478" w:rsidRDefault="00500478" w:rsidP="00500478">
      <w:hyperlink r:id="rId26" w:history="1">
        <w:r w:rsidRPr="00232FA8">
          <w:rPr>
            <w:rStyle w:val="Hyperlink"/>
          </w:rPr>
          <w:t>https://vimeo.com/172935214</w:t>
        </w:r>
      </w:hyperlink>
    </w:p>
    <w:p w:rsidR="00500478" w:rsidRDefault="00500478" w:rsidP="00B804F1"/>
    <w:p w:rsidR="00B804F1" w:rsidRDefault="00B804F1" w:rsidP="00B804F1">
      <w:r>
        <w:t>Please explain, with examples, more details about how 'use tax' is handled in Alma.</w:t>
      </w:r>
    </w:p>
    <w:p w:rsidR="002813B1" w:rsidRDefault="002813B1" w:rsidP="00B804F1"/>
    <w:p w:rsidR="00500478" w:rsidRDefault="00500478" w:rsidP="00500478">
      <w:pPr>
        <w:rPr>
          <w:color w:val="1F497D"/>
        </w:rPr>
      </w:pPr>
      <w:r>
        <w:rPr>
          <w:color w:val="1F497D"/>
        </w:rPr>
        <w:t xml:space="preserve">VAT content in OLH &gt; Acquisitions &gt; Invoicing &gt; </w:t>
      </w:r>
      <w:hyperlink r:id="rId27" w:tooltip="Creating Invoices" w:history="1">
        <w:r>
          <w:rPr>
            <w:rStyle w:val="Hyperlink"/>
            <w:color w:val="B4B4B4"/>
            <w:shd w:val="clear" w:color="auto" w:fill="FFFFFF"/>
          </w:rPr>
          <w:t>Creating Invoices</w:t>
        </w:r>
      </w:hyperlink>
      <w:r>
        <w:t xml:space="preserve"> </w:t>
      </w:r>
    </w:p>
    <w:p w:rsidR="00500478" w:rsidRDefault="00500478" w:rsidP="00500478">
      <w:pPr>
        <w:rPr>
          <w:color w:val="1F497D"/>
        </w:rPr>
      </w:pPr>
      <w:hyperlink r:id="rId28" w:anchor="ww1140706" w:history="1">
        <w:r>
          <w:rPr>
            <w:rStyle w:val="Hyperlink"/>
          </w:rPr>
          <w:t>https://knowledge.exlibrisgroup.com/Alma/Product_Documentation/Alma_Online_Help_(English)/Acquisitions/030Invoicing/020Creating_Invoices#ww1140706</w:t>
        </w:r>
      </w:hyperlink>
    </w:p>
    <w:p w:rsidR="00500478" w:rsidRDefault="00500478" w:rsidP="00500478">
      <w:pPr>
        <w:rPr>
          <w:color w:val="1F497D"/>
        </w:rPr>
      </w:pPr>
    </w:p>
    <w:p w:rsidR="00500478" w:rsidRDefault="00500478" w:rsidP="00500478">
      <w:pPr>
        <w:pStyle w:val="ListParagraph"/>
        <w:numPr>
          <w:ilvl w:val="0"/>
          <w:numId w:val="8"/>
        </w:numPr>
        <w:spacing w:before="0" w:beforeAutospacing="0" w:after="0" w:afterAutospacing="0"/>
        <w:rPr>
          <w:color w:val="1F497D"/>
        </w:rPr>
      </w:pPr>
      <w:hyperlink r:id="rId29" w:anchor="VAT_Calculation_.E2.80.93_Example" w:history="1">
        <w:r>
          <w:rPr>
            <w:rStyle w:val="Hyperlink"/>
            <w:color w:val="B4B4B4"/>
            <w:shd w:val="clear" w:color="auto" w:fill="EFEFEF"/>
          </w:rPr>
          <w:t>VAT Calculation – Example</w:t>
        </w:r>
      </w:hyperlink>
    </w:p>
    <w:p w:rsidR="00500478" w:rsidRDefault="00500478" w:rsidP="00500478">
      <w:pPr>
        <w:pStyle w:val="ListParagraph"/>
        <w:numPr>
          <w:ilvl w:val="0"/>
          <w:numId w:val="8"/>
        </w:numPr>
        <w:spacing w:before="0" w:beforeAutospacing="0" w:after="0" w:afterAutospacing="0" w:line="300" w:lineRule="atLeast"/>
        <w:rPr>
          <w:color w:val="000000"/>
        </w:rPr>
      </w:pPr>
      <w:hyperlink r:id="rId30" w:anchor="How_Alma_Handles_VAT_Payments" w:tooltip="Managing Vendors" w:history="1">
        <w:r>
          <w:rPr>
            <w:rStyle w:val="Hyperlink"/>
          </w:rPr>
          <w:t>How Alma Handles VAT Payments</w:t>
        </w:r>
      </w:hyperlink>
    </w:p>
    <w:p w:rsidR="00500478" w:rsidRDefault="00500478" w:rsidP="00500478">
      <w:pPr>
        <w:pStyle w:val="ListParagraph"/>
        <w:numPr>
          <w:ilvl w:val="0"/>
          <w:numId w:val="8"/>
        </w:numPr>
        <w:spacing w:before="0" w:beforeAutospacing="0" w:after="0" w:afterAutospacing="0" w:line="300" w:lineRule="atLeast"/>
        <w:rPr>
          <w:color w:val="000000"/>
        </w:rPr>
      </w:pPr>
      <w:r>
        <w:rPr>
          <w:color w:val="000000"/>
        </w:rPr>
        <w:t>See</w:t>
      </w:r>
      <w:r>
        <w:rPr>
          <w:rStyle w:val="apple-converted-space"/>
          <w:color w:val="000000"/>
        </w:rPr>
        <w:t> </w:t>
      </w:r>
      <w:hyperlink r:id="rId31" w:history="1">
        <w:r>
          <w:rPr>
            <w:rStyle w:val="Hyperlink"/>
          </w:rPr>
          <w:t>Invoicing and Tax</w:t>
        </w:r>
      </w:hyperlink>
      <w:r>
        <w:rPr>
          <w:rStyle w:val="apple-converted-space"/>
          <w:color w:val="000000"/>
        </w:rPr>
        <w:t> </w:t>
      </w:r>
      <w:r>
        <w:rPr>
          <w:color w:val="000000"/>
        </w:rPr>
        <w:t xml:space="preserve">for a detailed </w:t>
      </w:r>
      <w:proofErr w:type="spellStart"/>
      <w:r>
        <w:rPr>
          <w:color w:val="000000"/>
        </w:rPr>
        <w:t>Webex</w:t>
      </w:r>
      <w:proofErr w:type="spellEnd"/>
      <w:r>
        <w:rPr>
          <w:color w:val="000000"/>
        </w:rPr>
        <w:t xml:space="preserve"> training session on using the governmental vendor to handle use tax on an invoice (36 </w:t>
      </w:r>
      <w:proofErr w:type="spellStart"/>
      <w:r>
        <w:rPr>
          <w:color w:val="000000"/>
        </w:rPr>
        <w:t>mins</w:t>
      </w:r>
      <w:proofErr w:type="spellEnd"/>
      <w:r>
        <w:rPr>
          <w:color w:val="000000"/>
        </w:rPr>
        <w:t>).</w:t>
      </w:r>
    </w:p>
    <w:p w:rsidR="00500478" w:rsidRDefault="00500478" w:rsidP="00B804F1"/>
    <w:p w:rsidR="002813B1" w:rsidRDefault="002813B1" w:rsidP="002813B1">
      <w:r>
        <w:t>We want to confirm that all kinds of taxes, including state sales tax, county taxes, etc. are processed through VAT (even though we are not part of the European Union)?</w:t>
      </w:r>
    </w:p>
    <w:p w:rsidR="002813B1" w:rsidRDefault="00315917" w:rsidP="00B804F1">
      <w:r>
        <w:t>This is correct.</w:t>
      </w:r>
    </w:p>
    <w:p w:rsidR="00315917" w:rsidRDefault="00315917" w:rsidP="00B804F1"/>
    <w:p w:rsidR="00500478" w:rsidRDefault="00500478" w:rsidP="00500478">
      <w:r>
        <w:lastRenderedPageBreak/>
        <w:t>Can you demonstrate how to see all PO lines associated with a particular vendor?</w:t>
      </w:r>
    </w:p>
    <w:p w:rsidR="00857A0E" w:rsidRDefault="00500478" w:rsidP="00B804F1">
      <w:r>
        <w:t>Go to Acquisition – Vendors – search for vendor – open POL tab</w:t>
      </w:r>
    </w:p>
    <w:p w:rsidR="00500478" w:rsidRDefault="00500478" w:rsidP="00B804F1">
      <w:r>
        <w:t>Go to Acquisition – Search for POL – search by vendor information:</w:t>
      </w:r>
    </w:p>
    <w:p w:rsidR="00500478" w:rsidRDefault="00500478" w:rsidP="00B804F1">
      <w:r>
        <w:rPr>
          <w:noProof/>
        </w:rPr>
        <w:drawing>
          <wp:inline distT="0" distB="0" distL="0" distR="0">
            <wp:extent cx="2576146" cy="195509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82624" cy="1960007"/>
                    </a:xfrm>
                    <a:prstGeom prst="rect">
                      <a:avLst/>
                    </a:prstGeom>
                    <a:noFill/>
                    <a:ln>
                      <a:noFill/>
                    </a:ln>
                  </pic:spPr>
                </pic:pic>
              </a:graphicData>
            </a:graphic>
          </wp:inline>
        </w:drawing>
      </w:r>
      <w:r>
        <w:t xml:space="preserve"> </w:t>
      </w:r>
    </w:p>
    <w:p w:rsidR="00500478" w:rsidRDefault="00500478" w:rsidP="00B804F1"/>
    <w:p w:rsidR="000E4603" w:rsidRDefault="000E4603" w:rsidP="000E4603">
      <w:r>
        <w:t>How</w:t>
      </w:r>
      <w:r>
        <w:t xml:space="preserve"> to select the proper license when ordering an e-resource?</w:t>
      </w:r>
    </w:p>
    <w:p w:rsidR="000E4603" w:rsidRDefault="000E4603" w:rsidP="00B804F1">
      <w:r>
        <w:t xml:space="preserve">Create licenses under Acquisition – </w:t>
      </w:r>
    </w:p>
    <w:p w:rsidR="000E4603" w:rsidRDefault="000E4603" w:rsidP="00B804F1">
      <w:r>
        <w:rPr>
          <w:noProof/>
        </w:rPr>
        <w:drawing>
          <wp:inline distT="0" distB="0" distL="0" distR="0">
            <wp:extent cx="1679575" cy="10464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9575" cy="1046480"/>
                    </a:xfrm>
                    <a:prstGeom prst="rect">
                      <a:avLst/>
                    </a:prstGeom>
                    <a:noFill/>
                    <a:ln>
                      <a:noFill/>
                    </a:ln>
                  </pic:spPr>
                </pic:pic>
              </a:graphicData>
            </a:graphic>
          </wp:inline>
        </w:drawing>
      </w:r>
    </w:p>
    <w:p w:rsidR="004C448A" w:rsidRDefault="004C448A" w:rsidP="00B804F1"/>
    <w:p w:rsidR="002813B1" w:rsidRDefault="002813B1" w:rsidP="002813B1">
      <w:r>
        <w:t>What is the best way to search for all POs and PO Lines, regardless of status?</w:t>
      </w:r>
    </w:p>
    <w:p w:rsidR="002813B1" w:rsidRDefault="002813B1" w:rsidP="00B804F1">
      <w:r>
        <w:t>Go to Acquisition – Search for POL</w:t>
      </w:r>
    </w:p>
    <w:p w:rsidR="002813B1" w:rsidRDefault="002813B1" w:rsidP="00B804F1"/>
    <w:p w:rsidR="00412368" w:rsidRDefault="00412368" w:rsidP="00412368">
      <w:r>
        <w:t>Can you demonstrate what an emailed order sent to a vendor looks like?  We want to be sure that the vendor receives both PO Line numbers and PO numbers.</w:t>
      </w:r>
    </w:p>
    <w:p w:rsidR="002813B1" w:rsidRDefault="00F24C2B" w:rsidP="00B804F1">
      <w:r>
        <w:rPr>
          <w:noProof/>
        </w:rPr>
        <w:lastRenderedPageBreak/>
        <w:drawing>
          <wp:inline distT="0" distB="0" distL="0" distR="0">
            <wp:extent cx="5934710" cy="18288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710" cy="1828800"/>
                    </a:xfrm>
                    <a:prstGeom prst="rect">
                      <a:avLst/>
                    </a:prstGeom>
                    <a:noFill/>
                    <a:ln>
                      <a:noFill/>
                    </a:ln>
                  </pic:spPr>
                </pic:pic>
              </a:graphicData>
            </a:graphic>
          </wp:inline>
        </w:drawing>
      </w:r>
    </w:p>
    <w:p w:rsidR="00F24C2B" w:rsidRDefault="00F24C2B" w:rsidP="00B804F1"/>
    <w:p w:rsidR="00F24C2B" w:rsidRDefault="00F24C2B" w:rsidP="00B804F1"/>
    <w:p w:rsidR="0093383A" w:rsidRDefault="0093383A" w:rsidP="00B804F1"/>
    <w:p w:rsidR="004C448A" w:rsidRDefault="004C448A" w:rsidP="00B804F1"/>
    <w:p w:rsidR="006B3E2D" w:rsidRDefault="006B3E2D" w:rsidP="00964B73"/>
    <w:p w:rsidR="00392B0E" w:rsidRPr="00C03057" w:rsidRDefault="00392B0E" w:rsidP="00964B73">
      <w:pPr>
        <w:rPr>
          <w:rFonts w:asciiTheme="majorBidi" w:hAnsiTheme="majorBidi" w:cstheme="majorBidi"/>
          <w:color w:val="000000"/>
          <w:sz w:val="24"/>
          <w:szCs w:val="24"/>
        </w:rPr>
      </w:pPr>
    </w:p>
    <w:p w:rsidR="006C5A9C" w:rsidRPr="00C03057" w:rsidRDefault="006C5A9C">
      <w:pPr>
        <w:rPr>
          <w:rFonts w:asciiTheme="majorBidi" w:hAnsiTheme="majorBidi" w:cstheme="majorBidi"/>
          <w:sz w:val="24"/>
          <w:szCs w:val="24"/>
        </w:rPr>
      </w:pPr>
    </w:p>
    <w:sectPr w:rsidR="006C5A9C" w:rsidRPr="00C03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6F00"/>
    <w:multiLevelType w:val="hybridMultilevel"/>
    <w:tmpl w:val="9E0EE85A"/>
    <w:lvl w:ilvl="0" w:tplc="C4CC4C1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058C8"/>
    <w:multiLevelType w:val="multilevel"/>
    <w:tmpl w:val="8D00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69733A"/>
    <w:multiLevelType w:val="hybridMultilevel"/>
    <w:tmpl w:val="303A9F94"/>
    <w:lvl w:ilvl="0" w:tplc="6AB41288">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33796"/>
    <w:multiLevelType w:val="hybridMultilevel"/>
    <w:tmpl w:val="0588A168"/>
    <w:lvl w:ilvl="0" w:tplc="77D8F49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D716278"/>
    <w:multiLevelType w:val="hybridMultilevel"/>
    <w:tmpl w:val="DF14AA96"/>
    <w:lvl w:ilvl="0" w:tplc="C296A828">
      <w:start w:val="1"/>
      <w:numFmt w:val="bullet"/>
      <w:lvlText w:val="•"/>
      <w:lvlJc w:val="left"/>
      <w:pPr>
        <w:tabs>
          <w:tab w:val="num" w:pos="720"/>
        </w:tabs>
        <w:ind w:left="720" w:hanging="360"/>
      </w:pPr>
      <w:rPr>
        <w:rFonts w:ascii="Arial" w:hAnsi="Arial" w:hint="default"/>
      </w:rPr>
    </w:lvl>
    <w:lvl w:ilvl="1" w:tplc="A210B02A">
      <w:start w:val="108"/>
      <w:numFmt w:val="bullet"/>
      <w:lvlText w:val="•"/>
      <w:lvlJc w:val="left"/>
      <w:pPr>
        <w:tabs>
          <w:tab w:val="num" w:pos="1440"/>
        </w:tabs>
        <w:ind w:left="1440" w:hanging="360"/>
      </w:pPr>
      <w:rPr>
        <w:rFonts w:ascii="Arial" w:hAnsi="Arial" w:hint="default"/>
      </w:rPr>
    </w:lvl>
    <w:lvl w:ilvl="2" w:tplc="E0FE1608" w:tentative="1">
      <w:start w:val="1"/>
      <w:numFmt w:val="bullet"/>
      <w:lvlText w:val="•"/>
      <w:lvlJc w:val="left"/>
      <w:pPr>
        <w:tabs>
          <w:tab w:val="num" w:pos="2160"/>
        </w:tabs>
        <w:ind w:left="2160" w:hanging="360"/>
      </w:pPr>
      <w:rPr>
        <w:rFonts w:ascii="Arial" w:hAnsi="Arial" w:hint="default"/>
      </w:rPr>
    </w:lvl>
    <w:lvl w:ilvl="3" w:tplc="A8846CD4" w:tentative="1">
      <w:start w:val="1"/>
      <w:numFmt w:val="bullet"/>
      <w:lvlText w:val="•"/>
      <w:lvlJc w:val="left"/>
      <w:pPr>
        <w:tabs>
          <w:tab w:val="num" w:pos="2880"/>
        </w:tabs>
        <w:ind w:left="2880" w:hanging="360"/>
      </w:pPr>
      <w:rPr>
        <w:rFonts w:ascii="Arial" w:hAnsi="Arial" w:hint="default"/>
      </w:rPr>
    </w:lvl>
    <w:lvl w:ilvl="4" w:tplc="76CC0CC6" w:tentative="1">
      <w:start w:val="1"/>
      <w:numFmt w:val="bullet"/>
      <w:lvlText w:val="•"/>
      <w:lvlJc w:val="left"/>
      <w:pPr>
        <w:tabs>
          <w:tab w:val="num" w:pos="3600"/>
        </w:tabs>
        <w:ind w:left="3600" w:hanging="360"/>
      </w:pPr>
      <w:rPr>
        <w:rFonts w:ascii="Arial" w:hAnsi="Arial" w:hint="default"/>
      </w:rPr>
    </w:lvl>
    <w:lvl w:ilvl="5" w:tplc="61EAE8EA" w:tentative="1">
      <w:start w:val="1"/>
      <w:numFmt w:val="bullet"/>
      <w:lvlText w:val="•"/>
      <w:lvlJc w:val="left"/>
      <w:pPr>
        <w:tabs>
          <w:tab w:val="num" w:pos="4320"/>
        </w:tabs>
        <w:ind w:left="4320" w:hanging="360"/>
      </w:pPr>
      <w:rPr>
        <w:rFonts w:ascii="Arial" w:hAnsi="Arial" w:hint="default"/>
      </w:rPr>
    </w:lvl>
    <w:lvl w:ilvl="6" w:tplc="F690B9A2" w:tentative="1">
      <w:start w:val="1"/>
      <w:numFmt w:val="bullet"/>
      <w:lvlText w:val="•"/>
      <w:lvlJc w:val="left"/>
      <w:pPr>
        <w:tabs>
          <w:tab w:val="num" w:pos="5040"/>
        </w:tabs>
        <w:ind w:left="5040" w:hanging="360"/>
      </w:pPr>
      <w:rPr>
        <w:rFonts w:ascii="Arial" w:hAnsi="Arial" w:hint="default"/>
      </w:rPr>
    </w:lvl>
    <w:lvl w:ilvl="7" w:tplc="FC1452B8" w:tentative="1">
      <w:start w:val="1"/>
      <w:numFmt w:val="bullet"/>
      <w:lvlText w:val="•"/>
      <w:lvlJc w:val="left"/>
      <w:pPr>
        <w:tabs>
          <w:tab w:val="num" w:pos="5760"/>
        </w:tabs>
        <w:ind w:left="5760" w:hanging="360"/>
      </w:pPr>
      <w:rPr>
        <w:rFonts w:ascii="Arial" w:hAnsi="Arial" w:hint="default"/>
      </w:rPr>
    </w:lvl>
    <w:lvl w:ilvl="8" w:tplc="ADC25A7C" w:tentative="1">
      <w:start w:val="1"/>
      <w:numFmt w:val="bullet"/>
      <w:lvlText w:val="•"/>
      <w:lvlJc w:val="left"/>
      <w:pPr>
        <w:tabs>
          <w:tab w:val="num" w:pos="6480"/>
        </w:tabs>
        <w:ind w:left="6480" w:hanging="360"/>
      </w:pPr>
      <w:rPr>
        <w:rFonts w:ascii="Arial" w:hAnsi="Arial" w:hint="default"/>
      </w:rPr>
    </w:lvl>
  </w:abstractNum>
  <w:abstractNum w:abstractNumId="5">
    <w:nsid w:val="48EA6C0C"/>
    <w:multiLevelType w:val="hybridMultilevel"/>
    <w:tmpl w:val="2C143ED4"/>
    <w:lvl w:ilvl="0" w:tplc="E4B21300">
      <w:numFmt w:val="bullet"/>
      <w:lvlText w:val=""/>
      <w:lvlJc w:val="left"/>
      <w:pPr>
        <w:ind w:left="720" w:hanging="360"/>
      </w:pPr>
      <w:rPr>
        <w:rFonts w:ascii="Symbol" w:eastAsia="Calibri" w:hAnsi="Symbol"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24D2AF1"/>
    <w:multiLevelType w:val="hybridMultilevel"/>
    <w:tmpl w:val="B4466710"/>
    <w:lvl w:ilvl="0" w:tplc="FFB8E34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900FDD"/>
    <w:multiLevelType w:val="hybridMultilevel"/>
    <w:tmpl w:val="FBD0E12C"/>
    <w:lvl w:ilvl="0" w:tplc="34B439E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3"/>
  </w:num>
  <w:num w:numId="6">
    <w:abstractNumId w:val="0"/>
  </w:num>
  <w:num w:numId="7">
    <w:abstractNumId w:val="4"/>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33"/>
    <w:rsid w:val="00095659"/>
    <w:rsid w:val="000E4603"/>
    <w:rsid w:val="000E68D4"/>
    <w:rsid w:val="001220CB"/>
    <w:rsid w:val="00153E01"/>
    <w:rsid w:val="00162552"/>
    <w:rsid w:val="001B3060"/>
    <w:rsid w:val="001C2AB3"/>
    <w:rsid w:val="00254D55"/>
    <w:rsid w:val="002648CE"/>
    <w:rsid w:val="0027314C"/>
    <w:rsid w:val="002813B1"/>
    <w:rsid w:val="00292308"/>
    <w:rsid w:val="0031314C"/>
    <w:rsid w:val="00315917"/>
    <w:rsid w:val="0032491B"/>
    <w:rsid w:val="00392B0E"/>
    <w:rsid w:val="003C0DFF"/>
    <w:rsid w:val="003E6C8D"/>
    <w:rsid w:val="003F689E"/>
    <w:rsid w:val="00412368"/>
    <w:rsid w:val="004B15A2"/>
    <w:rsid w:val="004C448A"/>
    <w:rsid w:val="00500478"/>
    <w:rsid w:val="00500933"/>
    <w:rsid w:val="006672C0"/>
    <w:rsid w:val="006B3E2D"/>
    <w:rsid w:val="006C5A9C"/>
    <w:rsid w:val="006D2224"/>
    <w:rsid w:val="007239FF"/>
    <w:rsid w:val="00727F40"/>
    <w:rsid w:val="007B7E8D"/>
    <w:rsid w:val="00804CA1"/>
    <w:rsid w:val="008218E1"/>
    <w:rsid w:val="0082501A"/>
    <w:rsid w:val="00857A0E"/>
    <w:rsid w:val="00870284"/>
    <w:rsid w:val="008E140C"/>
    <w:rsid w:val="009008AA"/>
    <w:rsid w:val="0093383A"/>
    <w:rsid w:val="00964B73"/>
    <w:rsid w:val="00A100E2"/>
    <w:rsid w:val="00A9548E"/>
    <w:rsid w:val="00AA1E17"/>
    <w:rsid w:val="00AD0807"/>
    <w:rsid w:val="00B05C48"/>
    <w:rsid w:val="00B804F1"/>
    <w:rsid w:val="00B854AD"/>
    <w:rsid w:val="00C03057"/>
    <w:rsid w:val="00C25778"/>
    <w:rsid w:val="00C754C2"/>
    <w:rsid w:val="00CD404E"/>
    <w:rsid w:val="00D25EB5"/>
    <w:rsid w:val="00D63711"/>
    <w:rsid w:val="00D9537F"/>
    <w:rsid w:val="00E558AF"/>
    <w:rsid w:val="00ED3353"/>
    <w:rsid w:val="00ED5FBA"/>
    <w:rsid w:val="00F00EB6"/>
    <w:rsid w:val="00F0196A"/>
    <w:rsid w:val="00F24C2B"/>
    <w:rsid w:val="00F525CD"/>
    <w:rsid w:val="00F97E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675B4-84D9-4D92-80B4-404224A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93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62552"/>
    <w:rPr>
      <w:color w:val="0563C1" w:themeColor="hyperlink"/>
      <w:u w:val="single"/>
    </w:rPr>
  </w:style>
  <w:style w:type="character" w:customStyle="1" w:styleId="almamainmenu">
    <w:name w:val="almamainmenu"/>
    <w:basedOn w:val="DefaultParagraphFont"/>
    <w:rsid w:val="00162552"/>
  </w:style>
  <w:style w:type="paragraph" w:styleId="PlainText">
    <w:name w:val="Plain Text"/>
    <w:basedOn w:val="Normal"/>
    <w:link w:val="PlainTextChar"/>
    <w:uiPriority w:val="99"/>
    <w:semiHidden/>
    <w:unhideWhenUsed/>
    <w:rsid w:val="003C0DF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0DFF"/>
    <w:rPr>
      <w:rFonts w:ascii="Calibri" w:hAnsi="Calibri"/>
      <w:szCs w:val="21"/>
    </w:rPr>
  </w:style>
  <w:style w:type="character" w:customStyle="1" w:styleId="apple-converted-space">
    <w:name w:val="apple-converted-space"/>
    <w:basedOn w:val="DefaultParagraphFont"/>
    <w:rsid w:val="0032491B"/>
  </w:style>
  <w:style w:type="character" w:customStyle="1" w:styleId="screenelement">
    <w:name w:val="screenelement"/>
    <w:basedOn w:val="DefaultParagraphFont"/>
    <w:rsid w:val="0032491B"/>
  </w:style>
  <w:style w:type="paragraph" w:styleId="NormalWeb">
    <w:name w:val="Normal (Web)"/>
    <w:basedOn w:val="Normal"/>
    <w:uiPriority w:val="99"/>
    <w:semiHidden/>
    <w:unhideWhenUsed/>
    <w:rsid w:val="00ED5F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5096">
      <w:bodyDiv w:val="1"/>
      <w:marLeft w:val="0"/>
      <w:marRight w:val="0"/>
      <w:marTop w:val="0"/>
      <w:marBottom w:val="0"/>
      <w:divBdr>
        <w:top w:val="none" w:sz="0" w:space="0" w:color="auto"/>
        <w:left w:val="none" w:sz="0" w:space="0" w:color="auto"/>
        <w:bottom w:val="none" w:sz="0" w:space="0" w:color="auto"/>
        <w:right w:val="none" w:sz="0" w:space="0" w:color="auto"/>
      </w:divBdr>
      <w:divsChild>
        <w:div w:id="1066223997">
          <w:marLeft w:val="446"/>
          <w:marRight w:val="0"/>
          <w:marTop w:val="179"/>
          <w:marBottom w:val="0"/>
          <w:divBdr>
            <w:top w:val="none" w:sz="0" w:space="0" w:color="auto"/>
            <w:left w:val="none" w:sz="0" w:space="0" w:color="auto"/>
            <w:bottom w:val="none" w:sz="0" w:space="0" w:color="auto"/>
            <w:right w:val="none" w:sz="0" w:space="0" w:color="auto"/>
          </w:divBdr>
        </w:div>
        <w:div w:id="1749962517">
          <w:marLeft w:val="446"/>
          <w:marRight w:val="0"/>
          <w:marTop w:val="179"/>
          <w:marBottom w:val="0"/>
          <w:divBdr>
            <w:top w:val="none" w:sz="0" w:space="0" w:color="auto"/>
            <w:left w:val="none" w:sz="0" w:space="0" w:color="auto"/>
            <w:bottom w:val="none" w:sz="0" w:space="0" w:color="auto"/>
            <w:right w:val="none" w:sz="0" w:space="0" w:color="auto"/>
          </w:divBdr>
        </w:div>
        <w:div w:id="358236118">
          <w:marLeft w:val="446"/>
          <w:marRight w:val="0"/>
          <w:marTop w:val="134"/>
          <w:marBottom w:val="0"/>
          <w:divBdr>
            <w:top w:val="none" w:sz="0" w:space="0" w:color="auto"/>
            <w:left w:val="none" w:sz="0" w:space="0" w:color="auto"/>
            <w:bottom w:val="none" w:sz="0" w:space="0" w:color="auto"/>
            <w:right w:val="none" w:sz="0" w:space="0" w:color="auto"/>
          </w:divBdr>
        </w:div>
      </w:divsChild>
    </w:div>
    <w:div w:id="279072222">
      <w:bodyDiv w:val="1"/>
      <w:marLeft w:val="0"/>
      <w:marRight w:val="0"/>
      <w:marTop w:val="0"/>
      <w:marBottom w:val="0"/>
      <w:divBdr>
        <w:top w:val="none" w:sz="0" w:space="0" w:color="auto"/>
        <w:left w:val="none" w:sz="0" w:space="0" w:color="auto"/>
        <w:bottom w:val="none" w:sz="0" w:space="0" w:color="auto"/>
        <w:right w:val="none" w:sz="0" w:space="0" w:color="auto"/>
      </w:divBdr>
    </w:div>
    <w:div w:id="355618295">
      <w:bodyDiv w:val="1"/>
      <w:marLeft w:val="0"/>
      <w:marRight w:val="0"/>
      <w:marTop w:val="0"/>
      <w:marBottom w:val="0"/>
      <w:divBdr>
        <w:top w:val="none" w:sz="0" w:space="0" w:color="auto"/>
        <w:left w:val="none" w:sz="0" w:space="0" w:color="auto"/>
        <w:bottom w:val="none" w:sz="0" w:space="0" w:color="auto"/>
        <w:right w:val="none" w:sz="0" w:space="0" w:color="auto"/>
      </w:divBdr>
    </w:div>
    <w:div w:id="683286426">
      <w:bodyDiv w:val="1"/>
      <w:marLeft w:val="0"/>
      <w:marRight w:val="0"/>
      <w:marTop w:val="0"/>
      <w:marBottom w:val="0"/>
      <w:divBdr>
        <w:top w:val="none" w:sz="0" w:space="0" w:color="auto"/>
        <w:left w:val="none" w:sz="0" w:space="0" w:color="auto"/>
        <w:bottom w:val="none" w:sz="0" w:space="0" w:color="auto"/>
        <w:right w:val="none" w:sz="0" w:space="0" w:color="auto"/>
      </w:divBdr>
    </w:div>
    <w:div w:id="708339030">
      <w:bodyDiv w:val="1"/>
      <w:marLeft w:val="0"/>
      <w:marRight w:val="0"/>
      <w:marTop w:val="0"/>
      <w:marBottom w:val="0"/>
      <w:divBdr>
        <w:top w:val="none" w:sz="0" w:space="0" w:color="auto"/>
        <w:left w:val="none" w:sz="0" w:space="0" w:color="auto"/>
        <w:bottom w:val="none" w:sz="0" w:space="0" w:color="auto"/>
        <w:right w:val="none" w:sz="0" w:space="0" w:color="auto"/>
      </w:divBdr>
    </w:div>
    <w:div w:id="743457532">
      <w:bodyDiv w:val="1"/>
      <w:marLeft w:val="0"/>
      <w:marRight w:val="0"/>
      <w:marTop w:val="0"/>
      <w:marBottom w:val="0"/>
      <w:divBdr>
        <w:top w:val="none" w:sz="0" w:space="0" w:color="auto"/>
        <w:left w:val="none" w:sz="0" w:space="0" w:color="auto"/>
        <w:bottom w:val="none" w:sz="0" w:space="0" w:color="auto"/>
        <w:right w:val="none" w:sz="0" w:space="0" w:color="auto"/>
      </w:divBdr>
    </w:div>
    <w:div w:id="762258667">
      <w:bodyDiv w:val="1"/>
      <w:marLeft w:val="0"/>
      <w:marRight w:val="0"/>
      <w:marTop w:val="0"/>
      <w:marBottom w:val="0"/>
      <w:divBdr>
        <w:top w:val="none" w:sz="0" w:space="0" w:color="auto"/>
        <w:left w:val="none" w:sz="0" w:space="0" w:color="auto"/>
        <w:bottom w:val="none" w:sz="0" w:space="0" w:color="auto"/>
        <w:right w:val="none" w:sz="0" w:space="0" w:color="auto"/>
      </w:divBdr>
    </w:div>
    <w:div w:id="1489518022">
      <w:bodyDiv w:val="1"/>
      <w:marLeft w:val="0"/>
      <w:marRight w:val="0"/>
      <w:marTop w:val="0"/>
      <w:marBottom w:val="0"/>
      <w:divBdr>
        <w:top w:val="none" w:sz="0" w:space="0" w:color="auto"/>
        <w:left w:val="none" w:sz="0" w:space="0" w:color="auto"/>
        <w:bottom w:val="none" w:sz="0" w:space="0" w:color="auto"/>
        <w:right w:val="none" w:sz="0" w:space="0" w:color="auto"/>
      </w:divBdr>
    </w:div>
    <w:div w:id="1815878513">
      <w:bodyDiv w:val="1"/>
      <w:marLeft w:val="0"/>
      <w:marRight w:val="0"/>
      <w:marTop w:val="0"/>
      <w:marBottom w:val="0"/>
      <w:divBdr>
        <w:top w:val="none" w:sz="0" w:space="0" w:color="auto"/>
        <w:left w:val="none" w:sz="0" w:space="0" w:color="auto"/>
        <w:bottom w:val="none" w:sz="0" w:space="0" w:color="auto"/>
        <w:right w:val="none" w:sz="0" w:space="0" w:color="auto"/>
      </w:divBdr>
    </w:div>
    <w:div w:id="21441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einWQUiBGA&amp;hd=1" TargetMode="External"/><Relationship Id="rId13" Type="http://schemas.openxmlformats.org/officeDocument/2006/relationships/image" Target="media/image6.png"/><Relationship Id="rId18" Type="http://schemas.openxmlformats.org/officeDocument/2006/relationships/hyperlink" Target="http://knowledge.exlibrisgroup.com/Alma/Product_Documentation/Alma_Online_Help_(English)/Acquisitions/020Purchasing/020Creating_PO_Lines/030Manually_Creating_a_PO_Line" TargetMode="External"/><Relationship Id="rId26" Type="http://schemas.openxmlformats.org/officeDocument/2006/relationships/hyperlink" Target="https://vimeo.com/172935214"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15.png"/><Relationship Id="rId7" Type="http://schemas.openxmlformats.org/officeDocument/2006/relationships/hyperlink" Target="http://knowledge.exlibrisgroup.com/Alma/Product_Documentation/Alma_Online_Help_%28English%29/Acquisitions/100Advanced_Tools/020Fiscal_Period_Closure" TargetMode="Externa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knowledge.exlibrisgroup.com/Alma/Product_Documentation/Alma_Online_Help_%28English%29/Acquisitions/020Purchasing/020Creating_PO_Lines/030Manually_Creating_a_PO_Line#Working_with_PO_Line_Templates" TargetMode="External"/><Relationship Id="rId33"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hyperlink" Target="https://knowledge.exlibrisgroup.com/Alma/Product_Documentation/Alma_Online_Help_(English)/Acquisitions/030Invoicing/020Creating_Invoices" TargetMode="External"/><Relationship Id="rId1" Type="http://schemas.openxmlformats.org/officeDocument/2006/relationships/numbering" Target="numbering.xml"/><Relationship Id="rId6" Type="http://schemas.openxmlformats.org/officeDocument/2006/relationships/image" Target="cid:6B6261A2-97DB-43F7-8B72-C1B6EB262536" TargetMode="External"/><Relationship Id="rId11" Type="http://schemas.openxmlformats.org/officeDocument/2006/relationships/image" Target="media/image4.png"/><Relationship Id="rId24" Type="http://schemas.openxmlformats.org/officeDocument/2006/relationships/hyperlink" Target="http://knowledge.exlibrisgroup.com/Alma/Product_Documentation/Alma_Online_Help_(English)/Acquisitions/020Purchasing/050Packaging_PO_Lines_into_a_PO" TargetMode="External"/><Relationship Id="rId32"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hyperlink" Target="https://www.youtube.com/watch?v=b2j_RJPFKRE&amp;hd=1" TargetMode="External"/><Relationship Id="rId23" Type="http://schemas.openxmlformats.org/officeDocument/2006/relationships/hyperlink" Target="http://knowledge.exlibrisgroup.com/Alma/Product_Documentation/Alma_Online_Help_(English)/Acquisitions/020Purchasing/110Closing%2C_Reopening%2C_and_Relinking_PO_Lines" TargetMode="External"/><Relationship Id="rId28" Type="http://schemas.openxmlformats.org/officeDocument/2006/relationships/hyperlink" Target="https://knowledge.exlibrisgroup.com/Alma/Product_Documentation/Alma_Online_Help_(English)/Acquisitions/030Invoicing/020Creating_Invoices"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yperlink" Target="https://knowledge.exlibrisgroup.com/Alma/Training/Extended_Training/Managing_Funds_and_Payments/MF-03__Invoicing_and_Ta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knowledge.exlibrisgroup.com/Alma/Product_Documentation/Alma_Online_Help_(English)/Acquisitions/030Invoicing/020Creating_Invoices" TargetMode="External"/><Relationship Id="rId27" Type="http://schemas.openxmlformats.org/officeDocument/2006/relationships/hyperlink" Target="https://knowledge.exlibrisgroup.com/Alma/Product_Documentation/Alma_Online_Help_(English)/Acquisitions/030Invoicing/020Creating_Invoices" TargetMode="External"/><Relationship Id="rId30" Type="http://schemas.openxmlformats.org/officeDocument/2006/relationships/hyperlink" Target="https://knowledge.exlibrisgroup.com/Alma/Product_Documentation/Alma_Online_Help_(English)/Acquisitions/090Acquisitions_Infrastructure/010Managing_Vendor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10</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Smirnov</dc:creator>
  <cp:keywords/>
  <dc:description/>
  <cp:lastModifiedBy>Svetlana Smirnov</cp:lastModifiedBy>
  <cp:revision>47</cp:revision>
  <dcterms:created xsi:type="dcterms:W3CDTF">2016-07-06T13:30:00Z</dcterms:created>
  <dcterms:modified xsi:type="dcterms:W3CDTF">2016-07-12T12:59:00Z</dcterms:modified>
</cp:coreProperties>
</file>