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Sharing Functional Committee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Friday September 22, 2017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Joe</w:t>
      </w:r>
      <w:r w:rsidDel="00000000" w:rsidR="00000000" w:rsidRPr="00000000">
        <w:rPr>
          <w:rtl w:val="0"/>
        </w:rPr>
        <w:t xml:space="preserve">, Janet, </w:t>
      </w:r>
      <w:r w:rsidDel="00000000" w:rsidR="00000000" w:rsidRPr="00000000">
        <w:rPr>
          <w:b w:val="1"/>
          <w:rtl w:val="0"/>
        </w:rPr>
        <w:t xml:space="preserve">Stacy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Jesica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Astra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Anya</w:t>
      </w:r>
      <w:r w:rsidDel="00000000" w:rsidR="00000000" w:rsidRPr="00000000">
        <w:rPr>
          <w:rtl w:val="0"/>
        </w:rPr>
        <w:t xml:space="preserve">, Arturo, Carolyn</w:t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Approve/Deny ILLiad Due Date Recommendation Document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Approved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CSU+ Stats: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Stats Reporting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Stats should be collected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Individual tracking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Group stats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Collaborating with the Analytics Functional Committee in a joint task force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Policies for changes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https://calstate.atlassian.net/wiki/spaces/ULMS/pages/79215733/Resource+Sharing+Policies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Should Alumni have CSU+ privileges? 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Currently no Alumni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Peoplesoft tracking is a potential reason not to allow alumni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Many universities do not allow Alumni to use any library services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Leave it up to the institution?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is better to have consistent policies so that messaging to patrons is the same.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Short loan for all media? Long for all books? (exceptions for special case items)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Consistency would benefit the patrons. Patrons may expect all books to have the same loan period. 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we propose policies to ULMS/COLD in new structure?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to handle lost Book Fees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Needs to be consistent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gets the $90 dollars if we don’t exchange funds?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lost fee for CSU+?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Keep fee as a scare tactic to get books back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wording of book straps to say “replacement fee” 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does the lending library approve of the replacement copy?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Clarify policies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Bags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 are running out of bags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Hopefully balancing ROTA will fix this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the meantime post to slack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Patches for repair?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bags once a year to a central person who will take them to a drycleaner for repair and cleaning</w:t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calstate.atlassian.net/wiki/spaces/ULMS/pages/79215733/Resource+Sharing+Policies" TargetMode="External"/></Relationships>
</file>