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Friday November 3,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Chris, Joe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Janet, Stacy,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Jesica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Astra,</w:t>
      </w:r>
      <w:r w:rsidDel="00000000" w:rsidR="00000000" w:rsidRPr="00000000">
        <w:rPr>
          <w:rtl w:val="0"/>
        </w:rPr>
        <w:t xml:space="preserve"> Anya, </w:t>
      </w:r>
      <w:r w:rsidDel="00000000" w:rsidR="00000000" w:rsidRPr="00000000">
        <w:rPr>
          <w:b w:val="1"/>
          <w:rtl w:val="0"/>
        </w:rPr>
        <w:t xml:space="preserve">Arturo,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Carolyn, Mallory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Discussion Topics: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ULMS Coordinating tasks: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training needs 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Open Forum (17th at 10 AM) (Chris send out invite) 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Bullet point topics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Difference between ILLiad and CSU+ request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Multivolume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Media items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Publicize policy recommendations for user feedback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before="160" w:lineRule="auto"/>
        <w:ind w:left="288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Open comments, concerns, and ideas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Mallory volunteered to collect emails for policy ideas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opportunities for streamlining workflows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Interface issues - encourage people to file cases as errors appear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integration with campus and other systems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before="160" w:lineRule="auto"/>
        <w:ind w:left="144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Identify consortial functionality that needs enhancements by Ex Libris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before="160" w:lineRule="auto"/>
        <w:ind w:left="2160" w:hanging="360"/>
        <w:contextualSpacing w:val="1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Visiting patron and CSU+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Multivolume bands/stickers: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band /sticker on each item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 to policies (Chris)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 guide (Stacy)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Packaging items prior to shipping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Box </w:t>
      </w:r>
      <w:r w:rsidDel="00000000" w:rsidR="00000000" w:rsidRPr="00000000">
        <w:rPr>
          <w:rtl w:val="0"/>
        </w:rPr>
        <w:t xml:space="preserve">and possibly bubble wrap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Best practices email blast (Art)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Statistics: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stats need collecting?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you categorize electronic copies with limited copies? Is it resource sharing?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Borrowing and Lending filled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 to Acquisitions for what stats they could use.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ROTA balancing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 blast of best practice reminders (Art)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Multivolume printing guide (Stacy)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 policy items (Chris)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Schedule open forum and send out invite (Chris)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 policy recommendations to ULMS website (Chris)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 policy email to send to access listserv requesting feedback to discuss at open forum - send to RS committee for approval (Mallory)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Send out a doodle poll to reschedule 11/10 meeting (Chris)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